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157 vom 16. Mai 2017</w:t>
      </w:r>
    </w:p>
    <w:p>
      <w:r>
        <w:t>BE Obergericht, 2017-05-16, DE</w:t>
      </w:r>
    </w:p>
    <w:p>
      <w:r>
        <w:rPr>
          <w:b/>
        </w:rPr>
        <w:t xml:space="preserve">Quelle: </w:t>
      </w:r>
      <w:r>
        <w:t>https://mcp.opencaselaw.ch/entscheid/be_zivilstraf_BK_2017_157</w:t>
      </w:r>
    </w:p>
    <w:p>
      <w:r>
        <w:t>FR: BE_ZIVILSTRAF BK 2017 157 du 16 mai 2017</w:t>
      </w:r>
    </w:p>
    <w:p>
      <w:r>
        <w:t>IT: BE_ZIVILSTRAF BK 2017 157 del 16 maggio 2017</w:t>
      </w:r>
    </w:p>
    <w:p>
      <w:pPr>
        <w:pStyle w:val="Heading2"/>
      </w:pPr>
      <w:r>
        <w:t>Regeste</w:t>
      </w:r>
    </w:p>
    <w:p>
      <w:r>
        <w:t>Nichtanhandnahme | Einstellung/Nichtanhandnahme</w:t>
      </w:r>
    </w:p>
    <w:p>
      <w:pPr>
        <w:pStyle w:val="Heading2"/>
      </w:pPr>
      <w:r>
        <w:t>Erwägungen</w:t>
      </w:r>
    </w:p>
    <w:p>
      <w:r>
        <w:rPr>
          <w:b/>
        </w:rPr>
        <w:t>E. 1</w:t>
      </w:r>
    </w:p>
    <w:p>
      <w:r>
        <w:t>Am 20. März 2017 nahm die Regionale Staatsanwaltschaft Bern-Mittelland (nach- folgend: Staatsanwaltschaft) das Verfahren gegen die sieben Beschuldigten wegen Anstiftung zu Amtsmissbrauch, Amtsmissbrauchs, Bestechung, Sich bestechen lassens sowie Nötigung und Urkundenfälschung im Amt nicht an die Hand. Dage- gen reichte der Straf- und Zivilkläger (nachfolgend: Beschwerdeführer) am 10. April 2017 Beschwerde ein und beantragte sinngemäss die Eröffnung eines Strafverfah- rens und die Ausrichtung einer Entschädigung für seine Aufwendungen im Zu- sammenhang mit den beanstandeten Baubewilligungsverfahren. Mit Blick auf Nachfolgendes wurde auf die Durchführung eines Schriftenwechsels verzichtet (Art. 390 Abs. 2 der Strafprozessordnung [SR 312.0]).</w:t>
      </w:r>
    </w:p>
    <w:p>
      <w:r>
        <w:rPr>
          <w:b/>
        </w:rPr>
        <w:t>E. 2</w:t>
      </w:r>
    </w:p>
    <w:p>
      <w:r>
        <w:t>des Organisationsreglements des Obergerichts [OrR OG; BSG 162.11]). Der Be- schwerdeführer ist durch die Nichtanhandnahme unmittelbar in seinen rechtlich ge- schützten Interessen betroffen und damit zur Beschwerdeführung legitimiert (Art. 382 StPO). Auf die Beschwerde ist einzutreten. Wie aus seiner Beschwerde her- vorgeht (vgl. Rz. 2.16) ist nur die Nichtanhandnahme wegen Amtsmissbrauchs, Nötigung und Urkundenfälschung im Amt angefochten. Die Nichtanhandnahme wegen Anstiftung zu Amtsmissbrauch, Bestechung sowie Sich bestechen lassens durch die Beschuldigten 6 und 7 bildet damit nicht mehr Gegenstand des Be- schwerdeverfahrens.</w:t>
      </w:r>
    </w:p>
    <w:p>
      <w:r>
        <w:rPr>
          <w:b/>
        </w:rPr>
        <w:t>E. 3</w:t>
      </w:r>
    </w:p>
    <w:p>
      <w:r>
        <w:t>ein Entscheid im nachträglichen Baubewilligungsverfahren für die festgestellte Nut- zungsänderung und die Installationen vorliege. Der Beschwerdeführer macht gel- tend, es handle sich dabei um einen politisch motivierten Entscheid und dass be- wusst vorgezogen ein auf einzelne Elemente des Betriebs beschränktes Baubewil- ligungsverfahren durchgeführt werden sollte, um damit die Prüfung der Rechtmäs- sigkeit der Grundnutzung auf die lange Bank zu schieben. Das Vorgehen vom Bau- inspektorat sei einzig darauf angelegt, die Kernfrage in dieser Sache, jene der grundsätzlichen Zonenkonformität und der Wiederherstellung des rechtmässigen Zustands, möglichst lange hinauszuschieben.</w:t>
      </w:r>
    </w:p>
    <w:p>
      <w:r>
        <w:rPr>
          <w:b/>
        </w:rPr>
        <w:t>E. 4</w:t>
      </w:r>
    </w:p>
    <w:p>
      <w:r>
        <w:t>Der Vorwurf der Nötigung war bereits Gegenstand des Strafverfahrens BM 14 6657. Die Staatsanwaltschaft nahm das Verfahren am 4. April 2014 nicht an die Hand. Eine dagegen erhobene Beschwerde wies die Beschwerdekammer am 15. Juli 2014 (Beschluss des Obergerichts des Kantons Bern BK 14 147) ab. Dar- auf kann verwiesen werden, zumal das Bundesgericht auf die erhobene Beschwer- de nicht eintrat. Die Voraussetzungen für eine Wiederaufnahme nach Art. 323 StPO liegen nicht vor. Die Ausführungen in der Beschwerde begründen erneut kei- ne strafrechtliche Verantwortlichkeit der Beschuldigten. Ein Missbrauch der Amts- gewalt liegt vor, wenn der Täter die verliehenen Machtbefugnisse unrechtmässig anwendet, indem er kraft seines Amtes hoheitliche Verfügungen trifft oder auf an- dere Art Zwang ausübt, wo dies nicht geschehen dürfte. Die Unrechtmässigkeit des Einsatzes der Amtsgewalt kann auch darin liegen, dass der Amtsträger mit Zwang verbundene Verfügungen, Anordnungen oder Massnahmen zu sachfremdem Zwe- cke bzw. aus unsachlichen Beweggründen trifft (HEIMGARTNER, in: Basler Kommen- tar, Strafgesetzbuch II, 3. Aufl. 2013, N. 7 und 10 zu Art. 312 StGB). Abgesehen davon, dass das Bauinspektorat das Bauverfahren nicht selber sistierte, sondern dies lediglich beantragte, ist nicht ersichtlich, inwiefern es mit diesem Vorgehen seine Amtsgewalt missbraucht haben soll. Sowohl die Sistierung als auch die Ein- leitung eines nachträglichen Baubewilligungsverfahrens sind gesetzlich vorgese- hen. Der Zusammenhang der beiden Baubewilligungsverfahren liegt auf der Hand. Zur Zonenkonformität des Betriebs äusserte sich die Bewilligungsbehörde im nachträglichen Baubewilligungsverfahren, an dem sich der Beschwerdeführer be- teiligen konnte. Dieses Vorgehen des Bauinspektorats begründet keine Anhalts- punkte für das Vorliegen eines Amtsmissbrauchs.</w:t>
      </w:r>
    </w:p>
    <w:p>
      <w:r>
        <w:rPr>
          <w:b/>
        </w:rPr>
        <w:t>E. 5</w:t>
      </w:r>
    </w:p>
    <w:p>
      <w:r>
        <w:t>Ebenso fehlt es an einem Tatverdacht für das Vorliegen der neu behaupteten Nöti- gung. Abgesehen davon, dass das Vorgehen des Bauinspektorats strafrechtlich nicht relevant ist, blieb dem Beschwerdeführer nicht, wie geltend gemacht, bloss die Möglichkeit, sich mit Einsprachen am seiner Meinung nach sinnlosen nachträg- lichen Baubewilligungsverfahren zu beteiligen. Bereits in der Sistierungsverfügung des Regierungsstatthalters vom 27. Mai 2011 war vorgesehen, dass er zu einem späteren Zeitpunkt Gelegenheit erhalten werde, sich in dieser Sache (Errichtung eines Bistros) zu äussern. Es handelt sich bei den Vorbringen des Beschwerdefüh- rers ausschliesslich um verwaltungsrechtliche Fragestellungen, für deren Beant- wortung die Strafbehörde nicht zuständig ist.</w:t>
      </w:r>
    </w:p>
    <w:p>
      <w:r>
        <w:t>4</w:t>
      </w:r>
    </w:p>
    <w:p>
      <w:r>
        <w:rPr>
          <w:b/>
        </w:rPr>
        <w:t>E. 6</w:t>
      </w:r>
    </w:p>
    <w:p>
      <w:r>
        <w:t>Der Beschwerdeführer macht zudem geltend, der Bericht zum Bauentscheid des Bauinspektorats vom 14. April 2011 sei nachträglich auf den 18. Juli 2011 datiert worden und sieht darin eine Urkundenfälschung. Anders als die Staatsanwaltschaft stellt er sich auf den Standpunkt, dass dieser Bericht geeignet ist, eine rechtlich er- hebliche Tatsache zu beweisen. Er macht geltend, der Bericht erwecke, wenn er auf den 18. Juli 2011 umdatiert werde, den Anschein, dass das Verfahren zu die- sem Zeitpunkt und somit zum Zeitpunkt des Gesuchs an die Kommission für Pla- nung nicht sistiert gewesen sei. Es werde somit der Anschein erweckt, dass es sich um ein reguläres Geschäft handle, dem man ohne Bedenken zustimmen könne. Dies sei jedoch offensichtlich nicht der Fall, zumal in diesem Brief an die Kommis- sion zugleich die entscheidende Information, dass gegen das Baugesuch eine mit fehlender Zonenkonformität des Betriebs begründete Einsprache vorliege, unter- schlagen worden sei. Aufgrund des späteren Datums des Berichts kann der Eindruck entstehen, dass das Bauinspektorat seinen Antrag auf Sistierung gerade erst gestellt hatte und das Verfahren damit noch nicht sistiert war. Es ist aber nicht ersichtlich, inwiefern dieser Umstand rechtlich erheblich sein soll und die Kommission für Planung in ihrer Emp- fehlung beeinflussen könnte. Selbst wenn die Kommission für Planung von der er- folgten Sistierungsverfügung durch den Regierungsstatthalter keine Kenntnis ge- habt haben sollte, war jedenfalls die Ausgangslage klar. Aus dem Bericht geht her- vor, dass die Sistierung beabsichtigt war und betreffend die übrigen durch die Ein- sprecher monierten Nutzungen ein nachträgliches Baubewilligungsverfahren einge- leitet worden war. Es gibt daher auch keinerlei Grund, weshalb das Bauinspektorat absichtlich einen später datierten Bericht einreichen sollte bzw. betreffend die Sis- tierung ein falsches Bild vermitteln wollte. Das Bauinspektorat konnte sich dadurch keinerlei Vorteile bzw. Nachteile für den Beschwerdeführer erhoffen. Vielmehr scheint offensichtlich, dass es mit diesem Bericht auf die Ausgangslage hinweisen wollte. Der Bericht ist nicht unterzeichnet, was bestätigt, dass es sich bloss um ei- nen Ausdruck und nicht das Original handelt. Das spätere Datum entspricht zudem genau dem Datum der Eingabe des Bauinspektorats an die Kommission für Pla- nung, was darauf hinweist, dass beim erneuten Druck des Berichts automatisch das Datum aktualisiert worden ist. Jedenfalls ergeben sich auch aus diesem Um- stand keinerlei Hinweise auf ein strafrechtlich relevantes Verhalten.</w:t>
      </w:r>
    </w:p>
    <w:p>
      <w:r>
        <w:rPr>
          <w:b/>
        </w:rPr>
        <w:t>E. 7</w:t>
      </w:r>
    </w:p>
    <w:p>
      <w:r>
        <w:t>Die Nichtanhandnahme ist zu Recht erfolgt. Die Beschwerde ist als offensichtlich unbegründet abzuweisen.</w:t>
      </w:r>
    </w:p>
    <w:p>
      <w:r>
        <w:rPr>
          <w:b/>
        </w:rPr>
        <w:t>E. 8</w:t>
      </w:r>
    </w:p>
    <w:p>
      <w:r>
        <w:t>Bei diesem Ausgang des Verfahrens trägt der Beschwerdeführer die Verfahrens- kosten (Art. 428 Abs. 1 StPO). Den Beschuldigten sind durch das Beschwerdever- fahren keine entschädigungswürdigen Nachteile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