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153 vom 7. Juni 2017</w:t>
      </w:r>
    </w:p>
    <w:p>
      <w:r>
        <w:t>BE Obergericht, 2017-06-07, DE</w:t>
      </w:r>
    </w:p>
    <w:p>
      <w:r>
        <w:rPr>
          <w:b/>
        </w:rPr>
        <w:t xml:space="preserve">Quelle: </w:t>
      </w:r>
      <w:r>
        <w:t>https://mcp.opencaselaw.ch/entscheid/be_zivilstraf_BK_2017_153</w:t>
      </w:r>
    </w:p>
    <w:p>
      <w:r>
        <w:t>FR: BE_ZIVILSTRAF BK 2017 153 du 7 juin 2017</w:t>
      </w:r>
    </w:p>
    <w:p>
      <w:r>
        <w:t>IT: BE_ZIVILSTRAF BK 2017 153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der Beschwerdeführer geltend mache, es werde im Verfah- ren durchwegs identische und widerspruchsfreie Sachverhaltsdarstellungen geben. Die fehlenden Aussagen der Beschuldigten könnten nicht durch Aussagen ihres Rechtsanwalts in der Beschwerde ersetzt werden. Schliesslich müsse nicht abge- wartet werden, was die Beschuldigten im Verlauf des Verfahrens effektiv aussagen werden, um einen Interessenkonflikt bejahen zu können. Es genüge, wenn der An- 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des Beschwerdeführers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Der Beschwerdeführer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w:t>
      </w:r>
    </w:p>
    <w:p>
      <w:r>
        <w:rPr>
          <w:b/>
        </w:rPr>
        <w:t>E. 4.2</w:t>
      </w:r>
    </w:p>
    <w:p>
      <w:r>
        <w:t>In der Replik ergänzt der Beschwerdeführer zusammengefasst, der Hinweis auf Art. 12 Bundesgesetz über die Freizügigkeit der Anwältinnen und Anwälte (BGFA;</w:t>
      </w:r>
    </w:p>
    <w:p>
      <w:r>
        <w:rPr>
          <w:b/>
        </w:rPr>
        <w:t>E. 5</w:t>
      </w:r>
    </w:p>
    <w:p>
      <w:r>
        <w:t>den Fall stehe einerseits die Verfahrenseffizienz im Vordergrund. Andererseits ha- 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Der Beschwerdeführer argumentiert, der Sachverhalt, den er gemeinsam mit den Mit- beschuldigten erlebt habe, sei liquid, sodass augenfällig eine Einstellung des Ver- fahrens respektive ein Freispruch zu resultieren habe. Die Staatsanwaltschaft hin- gegen argumentiert, der Sachverhalt sei noch in wesentlichen Teilen unklar, wor- aus sie folgert, dass eine/r oder mehrere der sieben Beschuldigten anlässlich des weiteren Verfahrens gegen Mitbeschuldigte aussagen könnte/n. Ein Interessenkon- 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des Beschwerdeführers, dass die Gruppe eingekesselt und angehalten worden sei, obwohl sie mit den Gewalttätig- keiten nicht zu tun gehabt habe, wahrscheinlich nicht der materiellen Wahrheit ent- sprechen. Der Berichtsrapport von D.________ vom 26. Mai 2016 (S. 2) zeigt näm- lich zum Beispiel, dass sich an diesem Abend nicht – wie der Beschwerdeführer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E.________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5.3</w:t>
      </w:r>
    </w:p>
    <w:p>
      <w:r>
        <w:t>Mithin ist abschliessend zu klären, ob der Interessenkonflikt derart konkret ist oder jedenfalls werden könnte, dass eine Zulassung von Rechtsanwalt B.________ als Verteidiger des Beschwerdeführers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w:t>
      </w:r>
    </w:p>
    <w:p>
      <w:r>
        <w:rPr>
          <w:b/>
        </w:rPr>
        <w:t>E. 6</w:t>
      </w:r>
    </w:p>
    <w:p>
      <w:r>
        <w:t>SR 935.61) sei nicht einschlägig, weil kein Konflikt zwischen den Interessen der 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8</w:t>
      </w:r>
    </w:p>
    <w:p>
      <w:r>
        <w:t>digter nicht zulässig. Die zuständige Untersuchungsbehörde ist demnach in einem Strafprozess be- fugt, solche Interessenkonflikte festzustellen und eine Doppelvertretung zu verbieten (FELLMANN, 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w:t>
      </w:r>
    </w:p>
    <w:p>
      <w:r>
        <w:rPr>
          <w:b/>
        </w:rPr>
        <w:t>E. 9</w:t>
      </w:r>
    </w:p>
    <w:p>
      <w:r>
        <w:t>Prozessinteressen nach den konkreten Umständen nicht divergieren (Urteil 6B_1073/2010 vom 21. Juni 2011 E. 1.2.2; Urteil 1B_7/2009 vom 16. März 2009 E. 5.5 und E. 5.8 mit Hinweisen, nicht publ. 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des Beschwerdeführers,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der Beschwerdeführer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