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520 vom 2. März 2017</w:t>
      </w:r>
    </w:p>
    <w:p>
      <w:r>
        <w:t>BE Obergericht, 2017-03-02, DE</w:t>
      </w:r>
    </w:p>
    <w:p>
      <w:r>
        <w:rPr>
          <w:b/>
        </w:rPr>
        <w:t xml:space="preserve">Quelle: </w:t>
      </w:r>
      <w:r>
        <w:t>https://mcp.opencaselaw.ch/entscheid/be_zivilstraf_BK_2016_520</w:t>
      </w:r>
    </w:p>
    <w:p>
      <w:r>
        <w:t>FR: BE_ZIVILSTRAF BK 2016 520 du 2 mars 2017</w:t>
      </w:r>
    </w:p>
    <w:p>
      <w:r>
        <w:t>IT: BE_ZIVILSTRAF BK 2016 520 del 2 marzo 2017</w:t>
      </w:r>
    </w:p>
    <w:p>
      <w:pPr>
        <w:pStyle w:val="Heading2"/>
      </w:pPr>
      <w:r>
        <w:t>Regeste</w:t>
      </w:r>
    </w:p>
    <w:p>
      <w:r>
        <w:t>DNA-Analyse | Andere Verfügungen StA, Polizei (393-a)</w:t>
      </w:r>
    </w:p>
    <w:p>
      <w:pPr>
        <w:pStyle w:val="Heading2"/>
      </w:pPr>
      <w:r>
        <w:t>Erwägungen</w:t>
      </w:r>
    </w:p>
    <w:p>
      <w:r>
        <w:rPr>
          <w:b/>
        </w:rPr>
        <w:t>E. 1</w:t>
      </w:r>
    </w:p>
    <w:p>
      <w:r>
        <w:t>Die Regionale Staatsanwaltschaft Berner Jura-Seeland (nachfolgend: Staatsan- waltschaft) eröffnete am 30. November 2016 eine Untersuchung gegen A.________ wegen Widerhandlung gegen das Betäubungsmittelgesetz, Wider- handlungen gegen das Waffengesetz, Diebstahls und eventuell Hehlerei. Gegen die am 2. Dezember 2016 verfügte DNA-Profilerstellung reichte A.________ (nach- folgend: Beschwerdeführer) bei der Beschwerdekammer in Strafsachen des Ober- gerichts des Kantons Bern Beschwerde ein (Poststempel: 14. Dezember 2016). Die Generalstaatsanwaltschaft beantragte am 4. Januar 2017 die Abweisung der Be- schwerde. Der Beschwerdeführer machte von seinem Replikrecht keinen Ge- brauch.</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verfügte DNA- Profilerstellung unmittelbar in seinen rechtlich geschützten Interessen betroffen und zur Beschwerdeführung legitimiert (Art. 382 Abs. 1 StPO). Unter Berücksichtigung des in der angefochtenen Verfügung Ausgeführten kann seiner Eingabe sinn- gemäss entnommen werden, dass er das Vorliegen eines hinreichenden Tatver- dachts bestreitet. Damit sind die Mindestanforderungen an die Begründung einer Laienbeschwerde erfüllt. Auf die form- und fristgerechte Beschwerde ist einzutre- ten.</w:t>
      </w:r>
    </w:p>
    <w:p>
      <w:r>
        <w:rPr>
          <w:b/>
        </w:rPr>
        <w:t>E. 3</w:t>
      </w:r>
    </w:p>
    <w:p>
      <w:r>
        <w:t>chem Tatwerkzeug unter anderem Deliktsgut aus Diebstählen, illegale Waffen und Betäubungsmittel. Veranlasst durch diese Zufallsfunde eröffnete die Staatsanwalt- schaft das hier interessierende Strafverfahren gegen den Beschwerdeführer. Die in der Folge verfügte DNA-Profilerstellung wird von ihr damit begründet, dass ange- sichts der Anhaltung vor Ort der Verdacht bestehe, dass sich der Beschwerdefüh- rer regelmässig dort aufhalte und mit dem sichergestellten Deliktsgut, den illegalen Waffen und den Betäubungsmitteln in Verbindung stehe.</w:t>
      </w:r>
    </w:p>
    <w:p>
      <w:r>
        <w:rPr>
          <w:b/>
        </w:rPr>
        <w:t>E. 3.1</w:t>
      </w:r>
    </w:p>
    <w:p>
      <w:r>
        <w:t>Zur Aufklärung eines Verbrechens oder eines Vergehens kann von der beschuldig- ten Person eine Probe genommen und ein DNA-Profil erstellt werden (Art. 255 Abs. 1 Bst. a StPO). Ein solches Vorgehen kommt – soweit hier interessierend – in Betracht, um jenes Delikt aufzuklären, welches dazu Anlass gegeben hat, oder zur Zuordnung von bereits begangenen und den Strafverfolgungsbehörden bekannten Delikten. Dabei handelt es sich um eine Zwangsmassnahme, die den in Art. 197 Abs. 1 Bst. a bis d StPO statuierten Einschränkungen unterliegt. Zwangsmass- nahmen können nur ergriffen werden, wenn sie gesetzlich vorgesehen sind (Bst. a), ein hinreichender Tatverdacht vorliegt (Bst. b), die damit angestrebten Zie- le nicht durch mildere Massnahmen erreicht werden können (Bst. c) und die Be- deutung der Straftat die Zwangsmassnahme rechtfertigt (Bst. d).</w:t>
      </w:r>
    </w:p>
    <w:p>
      <w:r>
        <w:rPr>
          <w:b/>
        </w:rPr>
        <w:t>E. 3.2</w:t>
      </w:r>
    </w:p>
    <w:p>
      <w:r>
        <w:t>Aktenkundig ereignete sich am 21. November 2016 im ehemaligen Restaurant «B.________» an der C.________ (Strasse) in D.________ eine Schlägerei, bei der mehrere Personen verletzt wurden. Zwecks Sicherung von Tatspuren, Sicher- stellung von Tatwerkzeug und der Anhaltung von tatverdächtigen Personen wurde gleichentags eine Hausdurchsuchung durchgeführt, anlässlich welcher die Polizei den Beschwerdeführer im fraglichen Objekt antraf. Ferner fand sie nebst mögli-</w:t>
      </w:r>
    </w:p>
    <w:p>
      <w:r>
        <w:rPr>
          <w:b/>
        </w:rPr>
        <w:t>E. 3.3</w:t>
      </w:r>
    </w:p>
    <w:p>
      <w:r>
        <w:t>Der Beschwerdeführer bestreitet sinngemäss das Vorliegen eines hinreichenden Tatverdachts der Widerhandlung gegen das Betäubungsmittelgesetz, Widerhand- lungen gegen das Waffengesetz, Diebstahls und eventuell Hehlerei, weshalb die DNA-Profilerstellung nicht rechtmässig sei. Bei der Überprüfung des hinreichenden Tatverdachts hat die Beschwerdeinstanz im Gegensatz zum erkennenden Sachgericht keine erschöpfende Abwägung sämt- licher belastender und entlastender Beweisergebnisse vorzunehmen. Bestreitet der von strafprozessualen Zwangsmassnahmen Betroffene das Vorliegen eines aus- reichenden Tatverdachts, ist zu prüfen, ob aufgrund der bisherigen Untersu- chungsergebnisse genügend konkrete Anhaltspunkte für eine Straftat vorlagen, die Strafverfolgungsbehörden somit das Bestehen eines hinreichenden Tatverdachts mit vertretbaren Gründen bejahen durften. Es genügt dabei der Nachweis von kon- kreten Verdachtsmomenten, wonach das inkriminierte Verhalten mit erheblicher Wahrscheinlichkeit die fraglichen Tatbestandsmerkmale erfüllen könnte (Urteil des Bundesgerichts 1B_277/2013 vom 15. April 2014 E. 4.2 mit Hinweisen). Der kon- kret erforderliche Verdachtsgrad bemisst sich dabei nach der Eingriffsschwere der Massnahme (SCHMID, Handbuch des schweizerischen Strafprozessrechts, 2.Aufl. 2013, N. 973). Auch wenn der Beschwerdeführer anlässlich der Einvernahme vom 7. Dezember 2016 zu sämtlichen ihm gestellten Fragen die Aussage verweigert hat, ist die An- nahme des hinreichenden Tatverdachts nicht zu beanstanden. Anlässlich der Hausdurchsuchung im ehemaligen Restaurant «B.________» stellte die Polizei zahlreiches Deliktsgut, illegale Waffen und Betäubungsmittel sicher. Der Be- schwerdeführer, welcher an dieser Örtlichkeit angetroffen worden war, gab ge- genüber der Polizei an, in der fraglichen Liegenschaft zu wohnen (vgl. Rapport vom 25. November 2016, S. 2). Damit liegen zureichende tatsächliche Anhaltspunkte vor, wonach er mit den sichergestellten Gegenständen und den entsprechenden Deliktsvorwürfen in Verbindung stehen dürfte. Der Beschwerdeführer nennt jeden- falls in seiner Beschwerde keine Gründe, die den Verdacht gegen ihn zerstreuen könnten. Mit Blick auf die geringe Eingriffsschwere, welche mit einer DNA- Profilerstellung einhergeht, durfte die Staatsanwaltschaft das Vorliegen eines hin- reichenden Tatverdachts zu Recht bejahen.</w:t>
      </w:r>
    </w:p>
    <w:p>
      <w:r>
        <w:rPr>
          <w:b/>
        </w:rPr>
        <w:t>E. 3.4</w:t>
      </w:r>
    </w:p>
    <w:p>
      <w:r>
        <w:t>Wie die Generalstaatsanwaltschaft zu Recht ausführt, hält die verfügte DNA- Profilerstellung auch den weiteren Voraussetzungen stand. Die sichergestellten Gegenstände sind geeignete Träger von DNA-Spuren, welche mit dem angeordne- ten DNA-Profil des Beschwerdeführers abgeglichen werden könnten. Ferner er- weist sich die verfügte Profilerstellung auch als verhältnismässig. Bei einer Abwä- gung der betroffenen Interessen des Beschwerdeführers, in dessen Grundrechte</w:t>
      </w:r>
    </w:p>
    <w:p>
      <w:r>
        <w:rPr>
          <w:b/>
        </w:rPr>
        <w:t>E. 4</w:t>
      </w:r>
    </w:p>
    <w:p>
      <w:r>
        <w:t>Bei diesem Ausgang des Verfahrens wird der Beschwerdeführer kostenpflichtig (Art. 428 Abs. 1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