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502 vom 12. Dezember 2016</w:t>
      </w:r>
    </w:p>
    <w:p>
      <w:r>
        <w:t>BE Obergericht, 2016-12-12, DE</w:t>
      </w:r>
    </w:p>
    <w:p>
      <w:r>
        <w:rPr>
          <w:b/>
        </w:rPr>
        <w:t xml:space="preserve">Quelle: </w:t>
      </w:r>
      <w:r>
        <w:t>https://mcp.opencaselaw.ch/entscheid/be_zivilstraf_BK_2016_502</w:t>
      </w:r>
    </w:p>
    <w:p>
      <w:r>
        <w:t>FR: BE_ZIVILSTRAF BK 2016 502 du 12 décembre 2016</w:t>
      </w:r>
    </w:p>
    <w:p>
      <w:r>
        <w:t>IT: BE_ZIVILSTRAF BK 2016 502 del 12 dicembre 2016</w:t>
      </w:r>
    </w:p>
    <w:p>
      <w:pPr>
        <w:pStyle w:val="Heading2"/>
      </w:pPr>
      <w:r>
        <w:t>Regeste</w:t>
      </w:r>
    </w:p>
    <w:p>
      <w:r>
        <w:t>Begründung der Beschlagnahmeverfügung (Leitentscheid) | Andere Verfügungen StA, Polizei (393-a)</w:t>
      </w:r>
    </w:p>
    <w:p>
      <w:pPr>
        <w:pStyle w:val="Heading2"/>
      </w:pPr>
      <w:r>
        <w:t>Erwägungen</w:t>
      </w:r>
    </w:p>
    <w:p>
      <w:r>
        <w:rPr>
          <w:b/>
        </w:rPr>
        <w:t>E. 1</w:t>
      </w:r>
    </w:p>
    <w:p>
      <w:r>
        <w:t>Die Regionale Staatsanwaltschaft Emmental-Oberaargau (nachfolgend: Staatsan- waltschaft) führt unter anderem gegen A.________ (nachfolgend: Beschwerdefüh- rer) eine Strafuntersuchung wegen Widerhandlungen gegen das Betäubungsmit- telgesetz. Am 12. April 2016 wurde am Domizil des Beschwerdeführers eine Haus- durchsuchung durchgeführt. Dabei wurden zahlreiche Gegenstände sichergestellt. Die Staatsanwaltschaft beschlagnahmte am 22. November 2016 ein iPhone 6, ei- nen angerauchten Joint und eine Blüte Marihuana, einen Notizzettel, zwei Dosen mit Pillen und leere Minigrip. Zur Begründung gab sie in abgekürzter Form den Wortlaut von Art. 263 Abs. 1 der Schweizerischen Strafprozessordnung (StPO; SR 312.0) wieder. Gegen diese Beschlagnahme erhob der Beschwerdeführer, amtlich verteidigt durch Rechtsanwalt B.________, am 5. Dezember 2016 form- und frist- gerecht Beschwerde. Er beantragt die Aufhebung der angefochtenen Verfügung und die Herausgabe des iPhones 6, unter Kosten- und Entschädigungsfolge. Zur Begründung macht er zusammengefasst geltend, aus der Verfügung gehe nicht hervor, weshalb die Beschlagnahme angeordnet worden sei. Deshalb werde sein Anspruch auf rechtliches Gehör verletzt. Die Beschwerde wird in analoger Anwendung von Art. 390 Abs. 2 StPO ohne Schriftenwechsel beurteilt.</w:t>
      </w:r>
    </w:p>
    <w:p>
      <w:r>
        <w:rPr>
          <w:b/>
        </w:rPr>
        <w:t>E. 2</w:t>
      </w:r>
    </w:p>
    <w:p>
      <w:r>
        <w:t>Die Beschwerdekammer hat bereits mehrfach festgestellt, dass Beschlagnahmeverfügungen nur mit der Wiedergabe des Gesetzeswortlautes begründet werden. Das vermag dem Begründungserfordernis nicht zu genügen. Im Beschluss des Obergerichts BK 12 175 vom 24. Juli 2012 hat die Beschwerdekammer dazu folgendes ausgeführt: «Ein Beschlagnahmebefehl hat gemäss Art. 263 Abs. 2 StPO lediglich eine summarische Begründung zu enthalten. Der Betroffene muss aber in die Lage versetzt werden, die Tragweite des Entscheides zu beurteilen und angeblich fehlerhafte Punkte in Kenntnis aller Umstände von der Beschwerdeinstanz beurteilen zu lassen. Um dieses Ziel zu erreichen, hat der Staatsanwalt summarisch aufzuzeigen, dass die gesetzlichen Voraussetzungen für die Beschlagnahme vorliegen. Darzulegen ist mithin, dass ein hinreichender Tatverdacht und ein Beschlagnahmegrund, das heisst ein eventueller Verwendungszweck im Sinne von Art. 263 Abs. 1 lit. a bis d StPO gegeben sind. Der Entscheid muss auch die tatnächsten Anhaltspunkte enthalten, auf die sich der Tatverdacht stützt. Die Anforderungen an die Sachverhaltsdarstellung sind insbesondere dann nicht hoch, wenn dem Betroffenen die wesentlichen Umstände bereits bekannt sind. Ferner sind die angewandten Rechtsnormen anzugeben, wobei das Fehlen oder die Angabe falscher Gesetzesbestimmungen nicht zur Unwirksamkeit des Befehls führen, weil im Rechtsmittelverfahren eine Heilung möglich ist.»</w:t>
      </w:r>
    </w:p>
    <w:p>
      <w:r>
        <w:rPr>
          <w:b/>
        </w:rPr>
        <w:t>E. 3</w:t>
      </w:r>
    </w:p>
    <w:p>
      <w:r>
        <w:t>Bei diesem Ausgang des Verfahrens trägt der Kanton Bern die Kosten (Art. 428 Abs. 1 StPO). Die Entschädigung des amtlichen Verteidigers des Beschwerdefüh- rers wird am Ende des Verfahrens durch sie Staatsanwaltschaft oder das urteilen- de Gericht festgelegt (Art. 135 Abs. 2 StPO). Diese Entschädigung ist von einer Rück- und Nachzahlungspflicht gemäss Art. 135 Abs. 4 Bst. a und b StPO ausge- nommen.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