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412 vom 9. Februar 2017</w:t>
      </w:r>
    </w:p>
    <w:p>
      <w:r>
        <w:t>BE Obergericht, 2017-02-09, DE</w:t>
      </w:r>
    </w:p>
    <w:p>
      <w:r>
        <w:rPr>
          <w:b/>
        </w:rPr>
        <w:t xml:space="preserve">Quelle: </w:t>
      </w:r>
      <w:r>
        <w:t>https://mcp.opencaselaw.ch/entscheid/be_zivilstraf_BK_2016_412</w:t>
      </w:r>
    </w:p>
    <w:p>
      <w:r>
        <w:t>FR: BE_ZIVILSTRAF BK 2016 412 du 9 février 2017</w:t>
      </w:r>
    </w:p>
    <w:p>
      <w:r>
        <w:t>IT: BE_ZIVILSTRAF BK 2016 412 del 9 febbraio 2017</w:t>
      </w:r>
    </w:p>
    <w:p>
      <w:pPr>
        <w:pStyle w:val="Heading2"/>
      </w:pPr>
      <w:r>
        <w:t>Regeste</w:t>
      </w:r>
    </w:p>
    <w:p>
      <w:r>
        <w:t>Einstellung Strafverfahren wegen Freiheitsberaubung, Amtsmissbrauchs | Einstellung/Nichtanhandnahme</w:t>
      </w:r>
    </w:p>
    <w:p>
      <w:pPr>
        <w:pStyle w:val="Heading2"/>
      </w:pPr>
      <w:r>
        <w:t>Erwägungen</w:t>
      </w:r>
    </w:p>
    <w:p>
      <w:r>
        <w:rPr>
          <w:b/>
        </w:rPr>
        <w:t>E. 1</w:t>
      </w:r>
    </w:p>
    <w:p>
      <w:r>
        <w:t>Es sei die Einstellungsverfügung der Staatsanwaltschaft des Kantons Bern, Besondere Aufgaben, vom 6. September 2016 aufzuheben und die Beschwerdegegnerin sei anzuweisen, das gegen D.________, C.________, A.________ und unbekannte Täterschaft eröffnete Strafverfahren wei- terzuführen.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Letztlich habe die Aufsichtsbehörde einschreiten müssen. Während die Vollzugs- behörde von Beginn weg die Meinung vertreten habe, in der vorliegenden Konstel- lation sei im Sinne von Art. 62c Abs. 6 StGB das Gericht für die Aufhebung der be- stehenden Massnahme zuständig, und diese Massnahme laufe aufgrund des hän- gigen Gerichtsverfahrens nicht automatisch aus, habe sich das Regionalgericht auf den Standpunkt gestellt, nicht es, sondern die Vollzugsbehörde habe über eine Aufhebung der Massnahme zu befinden. Dieser Schlagabtausch zeige, dass ein rechtswidriger Freiheitsentzug nicht das Ziel der Unterlassung einer gebotenen Handlung gewesen sei, sondern bloss die (von niemandem angestrebte) Konse- quenz unterschiedlicher Rechtsauffassungen. Dies zeige sich auch am – vergebli- chen – Bemühen, einen Entscheid in der Sache noch vor Erreichen der Höchst- dauer der Massnahme zu erwirken. Sämtliche Involvierten seien stets von ihrer ju- ristischen Überzeugung geleitet worden und hätten sich als nicht kompetent erach- tet, die Entlassung des Beschwerdeführers anzuordnen. Es habe sowohl den im vorliegenden Verfahren beschuldigten, als auch allen anderen involvierten Perso- nen am Willen gefehlt, einen unrechtmässigen Freiheitsentzug beziehungsweise einen Missbrauch von Amtsgewalt zu bewirken. Vielmehr hätten sie die Freilassung in der Überzeugung unterlassen, dazu nicht legitimiert zu sein (und gerade durch eine Freilassung einen rechtswidrigen Entscheid zu treffen). Wie ihren Eingaben und auch dem Entscheid der Aufsichtsbehörde entnommen werden könne, beharr- ten die am Kompetenzkonflikt beteiligten Personen noch immer auf ihrer Auffas- sung. Unter diesen Umständen könne den Beschuldigten nicht vorgeworfen wer- den, vorsätzlich gehandelt zu haben. Es fehle sowohl in Bezug auf die Freiheitsbe- raubung als auch auf den Amtsmissbrauch am subjektiven Tatbestandsmerkmal. Ein vorsätzlicher Amtsmissbrauch liege nicht vor, wenn der Täter glaube, pflicht- gemäss zu handeln (ZBJV 85 [1946] 139). Im Übrigen sei in Bezug auf das Wissenselement des Vorsatzes anzumerken, dass vor dem Hintergrund ihrer Rechtsauffassung nicht leichthin angenommen werden könne, die Beschuldigten hätten um ihre Garantenstellung gewusst und damit das gebotene Verhalten im Wissen um ihre Obliegenheit zu handeln unterlassen. Die Frage der Zuständigkeit für die Entlassung einer verurteilten Person in Konstellati- onen wie der vorliegenden sei an dieser Stelle nicht abschliessend zu beantworten. Würde aber die von der Vollzugsbehörde vertretene Auffassung zutreffen, käme den sie vertretenden Personen keine Garantenstellung zu. Andernfalls läge ein Irr- tum über eine Handlungspflicht vor, welcher zu einem Verbotsirrtum führe.</w:t>
      </w:r>
    </w:p>
    <w:p>
      <w:r>
        <w:rPr>
          <w:b/>
        </w:rPr>
        <w:t>E. 4</w:t>
      </w:r>
    </w:p>
    <w:p>
      <w:r>
        <w:t>grund ihrer juristischen Ausbildung, ihrer Vorkenntnisse sowie ihrer Stellung inner- halb des Verwaltungsstrangs strafbar gemacht hätten oder nicht. Spätestens nach dem Positionsbezug des Regionalgerichts Emmental-Oberaargau am 26. Februar 2016 habe den Beschuldigten klar sein müssen, dass sie für die Haftentlassung zuständig seien. Damit hätten sie einen widerrechtlichen Freiheits- entzug billigend in Kauf genommen. Wenn die Vollzugsbehörde den Beschwerde- führer während des anhängig gemachten gerichtlichen Nachverfahrens hätte in Haft behalten wollen, so wäre es ihr frei gestanden, beim Zwangsmassnahmenge- richt einen Antrag auf vollzugsrechtliche Sicherheitshaft zu stellen. Den Beschuldig- ten habe klar sein müssen, dass dem Beschwerdeführer ohne neuen Hafttitel rechtswidrig die Freiheit entzogen werde. Das Ausstandsgesuch gegen Gerichts- präsident H.________ vom 8. März 2016, welches ein hilfloser Versuch gewesen sei, von den eigenen Unzulänglichkeiten abzulenken (vgl. Beschluss Obergerichts BK 16 100 vom 6. April 2016), zeige die Geringschätzung der Freiheitsrechte des Beschwerdeführers. Schliesslich erhelle aus dem Schreiben des Obergerichts vom 31. März 2016, dass die Mitarbeiter der Vollzugsbehörde den unrechtmässigen Freiheitsentzug zu verantworten hätten. Den Beschuldigten sei das Risiko der Tat- bestandsverwirklichung – der Freiheitsentzug des Beschwerdeführers – bewusst gewesen. Die Verwirklichung sei geradezu erwünscht gewesen. Das Willensele- ment des (Eventual)-Vorsatzes sei nicht ernsthaft zu bestreiten.</w:t>
      </w:r>
    </w:p>
    <w:p>
      <w:r>
        <w:rPr>
          <w:b/>
        </w:rPr>
        <w:t>E. 5</w:t>
      </w:r>
    </w:p>
    <w:p>
      <w:r>
        <w:t>liegende Handlung zu unterlassen und so einen unrechtmässigen Freiheitsentzug beziehungsweise einen Missbrauch von Amtsgewalt zu bewirken. Gleiches gelte für andere (bislang unbekannte) involvierte Personen. Insgesamt erscheine die Wahrscheinlichkeit einer Verurteilung deutlich geringer als ein Freispruch. Eine Verletzung des Grundsatzes in dubio pro duriore liegt ebenfalls nicht vor: Gelange die Staatsanwaltschaft in pflichtgemässer Ausübung ihres Ermessens zum Ergeb- nis, es liege keine zweifelhafte Beweislage vor, spiele der Grundsatz nicht.</w:t>
      </w:r>
    </w:p>
    <w:p>
      <w:r>
        <w:rPr>
          <w:b/>
        </w:rPr>
        <w:t>E. 6</w:t>
      </w:r>
    </w:p>
    <w:p>
      <w:r>
        <w:t>Die Beschuldigten vertreten im Kern dieselbe Rechtauffassung wie die Staatsan- waltschaft. Es seien sie gewesen, die auf eine zeitnahe und gesetzeskonforme Lö- sung gedrängt hätten. Ihnen zu unterstellen, sie hätten einen gesetzeswidrigen Freiheitsentzug herbeiführen oder verlängern wollen, erscheine abwegig. Zur Ga- rantenstellung führen sie aus, dass ein Unterlassungsdelikt im Sinne von Art. 11 StGB zur Diskussion stehe. Täter könne somit nur sein, wer pflichtwidrig untätig bleibe, sprich wer untätig bleibe, obwohl er aufgrund seiner Rechtstellung dazu verpflichtet sei, die Gefährdung oder Verletzung eines strafrechtlich geschützten Rechtsguts zu verhindern. Hier liege keine Garantenstellung vor. Unbesehen da- von, ob ein Fall von Art. 62c Abs. 6 StGB vorgelegen habe, sei jedenfalls ein Ver- fahren vor Gericht hängig und damit dieses für die Haftentlassung zuständig gewe- sen. Dieser Auffassung sei das Obergericht mit Schreiben vom 31. März 2016 ge- folgt: Da die Abteilung Straf- und Massnahmenvollzug (nachfolgend: ASMV) von der Möglichkeit einer Verhaftung des Beschwerdeführers gemäss Art. 38a Gesetz über den Straf- und Massnahmenvollzug (SMVG; BSG 341.1) nicht Gebrauch ge- macht habe, «liegt die Zuständigkeit nun beim befassten Gericht bzw. dessen Ver- fahrensleitung». Der Antrag der ASMV auf Aufhebung der Massnahme nach Art. 60 und auf Anordnung einer Massnahme nach Art. 59 StGB sei am 4. Februar 2016 erfolgt. Ab diesem Zeitpunkt sei das Gericht für die Anordnung von Sicherheitshaft oder die Entlassung zuständig gewesen. Für die Zeit nach Ablauf der Höchstdauer der Massnahme am 28. Februar 2016 bis am 5. April 2016 seien die beschuldigten ASMV-Mitarbeiter nicht von Gesetzes wegen oder aus anderen Gründen verpflich- tet gewesen – ja nicht einmal berechtigt –, die Gefährdung des strafrechtsrelevan- ten Rechtsguts des Beschwerdeführers, nämlich seiner Freiheit, zu verhindern.</w:t>
      </w:r>
    </w:p>
    <w:p>
      <w:r>
        <w:rPr>
          <w:b/>
        </w:rPr>
        <w:t>E. 7</w:t>
      </w:r>
    </w:p>
    <w:p>
      <w:r>
        <w:t>wären zu handeln (bspw. durch Einleitung von Sicherheitshaft oder durch Entlas- sung/Entlassungsvorbereitung). Zweitens liegt möglicherweise ein Fall von Inge- renzhaftung vor (zur Frage des rechtmässigen resp. sorgfaltspflichtwidrigen Vor- verhaltens siehe SEELMANN, in: Basler Kommentar StGB I, 3. Aufl. 2013, N. 49 f. zu Art. 11 StGB). Unter dem Strich muss eine derart komplexe Rechtsproblematik – wie auch die Ansicht, dass ein Verbotsirrtum gemäss Art. 21 StGB vorliege – in al- ler Regel durch ein Sachgericht beurteilt werden. Darüber hinaus kann sie hier aus nachstehender Erwägung heraus offengelassen werden.</w:t>
      </w:r>
    </w:p>
    <w:p>
      <w:r>
        <w:rPr>
          <w:b/>
        </w:rPr>
        <w:t>E. 7.1</w:t>
      </w:r>
    </w:p>
    <w:p>
      <w:r>
        <w:t>Nach Art. 319 Abs. 1 StPO verfügt die Staatsanwaltschaft die Einstellung des Ver- fahrens, wenn kein eine Anklage rechtfertigender Tatverdacht erhärtet ist, kein Straftatbestand erfüllt ist, Rechtfertigungsgründe einen Straftatbestand unanwend- bar machen, Prozessvoraussetzungen definitiv nicht erfüllt werden können, Pro- zesshindernisse aufgetreten sind oder nach gesetzlicher Vorschrift auf Strafverfol- gung und Bestrafung verzichtet werden kann. Von einer Anklage ist abzusehen, wenn ein Freispruch zu erwarten ist. Als Richtwert kann gelten, dass Anklage er- hoben werden muss, wenn eine Verurteilung wahrscheinlicher erscheint als ein Freispruch (Urteil des Bundesgerichts 1B_248/2011 vom 29. November 2011 E. 2.5). Dasselbe gilt in der Regel, wenn sich die Wahrscheinlichkeiten eines Frei- spruchs oder einer Verurteilung in etwa die Waage halten. Der Staatsanwaltschaft steht in diesem Zusammenhang ein erheblicher Ermessenspielraum zu (Urteil des</w:t>
      </w:r>
    </w:p>
    <w:p>
      <w:r>
        <w:t>6 Bundesgerichts 1B_122/2012 vom 12. April 2012 E. 5). Die Beantwortung der Fra- ge, ob ein Tatverdacht erhärtet ist, der eine Anklage rechtfertigt (Art. 319 Abs. 1 Bst. a StPO e contrario), setzt also eine Auseinandersetzung mit der Beweis- und Rechtslage voraus (Beschluss des Obergerichts BK 12 139 vom 9. Januar 2013). Die rechtlichen Voraussetzungen der Strafbarkeit schliesslich sind selten geradezu offensichtlich nicht gegeben, sodass dieser Einstellungsgrund Abgrenzungspro- bleme schafft. Die Grenze zwischen strafbarem und straflosem Verhalten wird oft durch schwer fassbare Gesetzesbegriffe wie die Arglist beim Betrugstatbestand oder die Fahrlässigkeit bestimmt. In solchen Fällen ist bei der Annahme fehlender Tatbestandsmässigkeit Zurückhaltung zu üben. In den wenigsten Fällen steht ein Freispruch mit Sicherheit oder doch grösster Wahrscheinlichkeit von vornherein fest. Eine Einstellung kann daher nur erfolgen, wenn ein Tatbestandselement of- fensichtlich nicht gegeben ist (GRÄDEL/HEINIGER, in: Basler Kommentar StPO, 2. Aufl. 2014, N. 9 zu Art. 319 StPO). Der Freiheitsberaubung gemäss Art. 183 StGB macht sich strafbar, wer jemanden unrechtmässig festnimmt oder gefangen hält, oder jemanden in anderer Weise un- rechtmässig die Freiheit entzieht. Des Amtsmissbrauchs gemäss Art. 312 StGB macht sich strafbar, wer als Mitglied einer Behörde oder als Beamter seine Amts- gewalt missbraucht, um sich oder einem andern einen unrechtmässigen Vorteil zu verschaffen, oder einem andern einen Nachteil zuzufügen. Diese Straftaten können auch durch pflichtwidriges Untätigbleiben begangen werden (Art. 11 StGB). Gemäss Art. 12 StGB ist nur strafbar, wer ein Verbrechen oder Vergehen vorsätz- lich begeht, sofern es das Gesetz nicht ausdrücklich anders bestimmt (Abs. 1). Vorsätzlich begeht ein Verbrechen oder Vergehen, wer die Tat mit Wissen und Wil- len ausführt. Der direkte Vorsatz verlangt neben dem Wissen um die reale Mög- lichkeit der Tatbestandserfüllung auch den Willen, den Tatbestand zu verwirkli- chen. Der Täter muss sich gegen das geschützte Gut entscheiden. Dieser Wille ist gegeben, wenn die Verwirklichung des Tatbestandes das eigentliche Handlungs- ziel des Täters ist oder ihm als eine notwendige Voraussetzung zur Erreichung sei- nes Zieles erscheint. Dasselbe gilt, wenn die Verwirklichung des Tatbestandes für den Täter eine notwendige Nebenfolge darstellt, mag sie ihm auch gleichgültig oder gar unerwünscht sein. Neben dem direkten Vorsatz erfasst Art. 12 StGB auch den Eventualvorsatz. Hier strebt der Täter den Erfolg nicht an, sondern weiss ledig- lich, dass dieser möglicherweise mit der willentlich vollzogenen Handlung verbun- den ist. Die Rechtsprechung bejaht den Eventualvorsatz, wenn der Täter den Ein- tritt des Erfolgs beziehungsweise die Tatbestandsverwirklichung für möglich hält, aber dennoch handelt, weil er den Erfolg für den Fall seines Eintritts in Kauf nimmt, sich mit ihm abfindet, mag er ihm auch unerwünscht sein (BGE 130 IV 58 E. 8.2).</w:t>
      </w:r>
    </w:p>
    <w:p>
      <w:r>
        <w:rPr>
          <w:b/>
        </w:rPr>
        <w:t>E. 7.2</w:t>
      </w:r>
    </w:p>
    <w:p>
      <w:r>
        <w:t>Dass der objektive Tatbestand sowohl der Freiheitsberaubung als auch des Amts- missbrauchs mit grosser Wahrscheinlichkeit erfüllt ist, davon geht auch die Staats- anwaltschaft aus. Die Beschuldigten bringen zwar vor, es fehle an einer Garanten- stellung im Sinne von Art. 11 Abs. 2 StGB, da es – wenn überhaupt – um ein Be- gehen durch Unterlassen gehe. Dem ist jedoch erstens entgegen zu halten, dass es strittig ist, ob die Beschuldigten von Gesetzes wegen verpflichtet gewesen</w:t>
      </w:r>
    </w:p>
    <w:p>
      <w:r>
        <w:rPr>
          <w:b/>
        </w:rPr>
        <w:t>E. 7.3</w:t>
      </w:r>
    </w:p>
    <w:p>
      <w:r>
        <w:t>Der massgebliche Sachverhalt ist zu wenig fundiert und damit nicht lege artis ab- geklärt worden. Die Staatsanwaltschaft hat sich vornehmlich darauf beschränkt, gewisse Aktenstücke zusammen zu tragen. Einvernahmen mit den Beschuldigten hat sie keine durchgeführt. Infolgedessen fehlen massgebliche Informationen zur Beurteilung des subjektiven Tatbestands von Art. 183 und Art. 312 StGB. Ohne unmittelbare Kenntnis der Positionen und Motivationen der beschuldigten Perso- nen hinsichtlich der sich im Nachhinein als mutmasslich unkorrekt herausstellen- den Vorgehensweise erscheint es nicht möglich, die subjektiven Aspekte der zur Diskussion stehenden Tatbestände abschliessend zu beurteilen; für die Aufhebung einer Massnahme nach Art. 60 StGB ist prinzipiell die ASMV zuständig (vgl. Art. 62c Abs. 1 Bst. b StGB). Des Weiteren sind im Zusammenhang mit der unbe- kannten Täterschaft keine ernsthaften Ermittlungen zu weiteren Personen, welche aufgrund des widerrechtlichen Freiheitsentzugs eine strafrechtliche Verantwortung treffen könnte, getätigt worden. Aus in den Akten nicht näher ersichtlichen Gründen wurde das Dossier des Be- schwerdeführers am 9. November 2015 der konkordatlichen Fachkommission zur Beurteilung der Gemeingefährlichkeit von Straftätern (nachfolgend: KoFako) vorge- legt. Ab diesem Zeitpunkt bis zum Vorliegen des Vorab-Dispositivs der KoFako am 28. Januar 2016 hat die ASMV hinsichtlich der allfälligen Anordnung einer Mass- nahme nach Art. 59 StGB oder der Aufhebung der bestehenden Massnahme – im vollsten Wissen um deren baldigen Ablauf – nichts weiter unternommen. Der Emp- fehlung der KoFako lebte sie sodann mit Schreiben an das Regionalgericht Em- mental-Oberaargau vom 4. Februar 2016 nach – mithin 23 Tage vor dem definiti- ven Auslaufen der Massnahme. Im Rahmen des so vor Regionalgericht (objektiv spät) eingeleiteten Verfahrens hat die zuständige Regionale Staatsanwaltschaft Emmental-Oberaargau am 19. Februar 2016 unter anderem darauf verzichtet, eine Massnahme nach Art. 59 StGB zu beantragen. Vielmehr hat sie den Antrag auf bedingte Entlassung gestellt. Spätestens mit Erhalt dieser Verfügung am 22. Fe- bruar 2016 war die ASMV über deren Absichten informiert. Ebenfalls hatte die ASMV über die Tatsache, dass sich das Regionalgericht Emmental-Oberaargau für die Aufhebung der Massnahme nach Art. 60 StGB als nicht zuständig erachtet, noch vor Ablauf der Massnahme Kenntnis. In Anbetracht der Schreiben der ASMV vom 25. Februar 2016, vom 29. Februar 2016 sowie vom 17. März 2016 deutet ei- niges darauf hin, dass die Beschuldigten die Massnahme einerseits zwar nicht auf- heben wollten, andererseits aber in keinem Moment bereit waren, Schritte in Rich- tung einer Sicherheitshaft zu tätigen. Stattdessen haben sie letztendlich ein Ausstandsbegehren gegen Gerichtspräsident H.________ gestellt, welcher ihre</w:t>
      </w:r>
    </w:p>
    <w:p>
      <w:r>
        <w:rPr>
          <w:b/>
        </w:rPr>
        <w:t>E. 7.4</w:t>
      </w:r>
    </w:p>
    <w:p>
      <w:r>
        <w:t>Die Beschwerde ist gutzuheissen. Die Verfügung der Kantonalen Staatsanwalt- schaft für besondere Aufgaben vom 6. September 2016 wird aufgehoben. Diese hat den Sachverhalt insbesondere mittels Einvernahmen der beschuldigten Perso- nen näher zu ermitteln.</w:t>
      </w:r>
    </w:p>
    <w:p>
      <w:r>
        <w:rPr>
          <w:b/>
        </w:rPr>
        <w:t>E. 8</w:t>
      </w:r>
    </w:p>
    <w:p>
      <w:r>
        <w:t>Bei diesem Ausgang des Verfahrens trägt der Kanton Bern die Verfahrenskosten (Art. 428 Abs. 1 StPO). Im Weiteren hat der Beschwerdeführer Anspruch auf eine Entschädigung für seine Aufwendungen im Beschwerdeverfahren. Die Entschädi- gung wird pauschal festgesetzt auf CHF 1‘500.00 (inkl. Auslagen und MWST). Sein Gesuch um unentgeltliche Rechtspflege wird damit gegenstandslos.</w:t>
      </w:r>
    </w:p>
    <w:p>
      <w:r>
        <w:rPr>
          <w:b/>
        </w:rPr>
        <w:t>E. 9</w:t>
      </w:r>
    </w:p>
    <w:p>
      <w:r>
        <w:t>Die Beschwerdekammer in Strafsachen beschliesst: 1. Die Beschwerde wird gutgeheissen. Die Verfügung der Kantonalen Staatsanwalt- schaft für besondere Aufgaben vom 6. September 2016 wird aufgehoben. 2. Die Kantonale Staatsanwaltschaft für besondere Aufgaben wird angewiesen, das Strafverfahren gegen die Beschuldigten im Sinne der Erwägungen fortzuführen. 3. Die Kosten des Beschwerdeverfahrens, bestimmt auf CHF 2‘000.00, trägt der Kanton Bern. 4. Dem Beschwerdeführer wird für seine Aufwendungen im Beschwerdeverfahren eine Entschädigung von CHF 1‘500.00 (inkl. Auslagen und MWST) ausgerichtet. 5. Das Gesuch des Beschwerdeführers um unentgeltliche Rechtspflege wird als gegen- standslos erklärt. 6. Zu eröffnen: - dem Straf- und Zivilkläger/Beschwerdeführer, v.d. Rechtsanwalt G.________ - den Beschuldigten, v.d. Fürsprecher B.________ - der Generalstaatsanwaltschaft Mitzuteilen: - der Kantonalen Staatsanwaltschaft für besondere Aufgaben, Staatsanwalt I.________ (mit den Akten) Bern, 9. Februar 2017 Im Namen der Beschwerdekammer in Strafsachen Die Präsidentin: Oberrichterin Schnell Der Gerichtsschreiber: Müller i.V. Gerichtsschreiber Kind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Bundesgesetzes vom</w:t>
      </w:r>
    </w:p>
    <w:p>
      <w:r>
        <w:rPr>
          <w:b/>
        </w:rPr>
        <w:t>E. 10</w:t>
      </w:r>
    </w:p>
    <w:p>
      <w:r>
        <w:t>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