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301 vom 25. August 2016</w:t>
      </w:r>
    </w:p>
    <w:p>
      <w:r>
        <w:t>BE Obergericht, 2016-08-25, DE</w:t>
      </w:r>
    </w:p>
    <w:p>
      <w:r>
        <w:rPr>
          <w:b/>
        </w:rPr>
        <w:t xml:space="preserve">Quelle: </w:t>
      </w:r>
      <w:r>
        <w:t>https://mcp.opencaselaw.ch/entscheid/be_zivilstraf_BK_2016_301</w:t>
      </w:r>
    </w:p>
    <w:p>
      <w:r>
        <w:t>FR: BE_ZIVILSTRAF BK 2016 301 du 25 août 2016</w:t>
      </w:r>
    </w:p>
    <w:p>
      <w:r>
        <w:t>IT: BE_ZIVILSTRAF BK 2016 301 del 25 agosto 2016</w:t>
      </w:r>
    </w:p>
    <w:p>
      <w:pPr>
        <w:pStyle w:val="Heading2"/>
      </w:pPr>
      <w:r>
        <w:t>Regeste</w:t>
      </w:r>
    </w:p>
    <w:p>
      <w:r>
        <w:t>Ausstand | Ausstand (59)</w:t>
      </w:r>
    </w:p>
    <w:p>
      <w:pPr>
        <w:pStyle w:val="Heading2"/>
      </w:pPr>
      <w:r>
        <w:t>Erwägungen</w:t>
      </w:r>
    </w:p>
    <w:p>
      <w:r>
        <w:rPr>
          <w:b/>
        </w:rPr>
        <w:t>E. 1</w:t>
      </w:r>
    </w:p>
    <w:p>
      <w:r>
        <w:t>Die Regionale Staatsanwaltschaft Bern-Mittelland führt gegen A.________ (nach- folgend: Gesuchstellerin) ein Strafverfahren wegen Beschimpfung. Am 25. Juli 2016 verlangte die Gesuchstellerin bei der Beschwerdekammer in Strafsachen den Ausstand von Staatsanwalt B.________ (nachfolgend: Gesuchsgegner). Dieser nahm am 3. August 2016 zum Gesuch Stellung und beantragte dessen kostenfälli- ge Abweisung, soweit darauf einzutreten sei. Die Gesuchstellerin replizierte am 16. August 2016 und hielt an ihren Anträgen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in Strafsachen (Art. 59 Ziffer 1 Bst. b StPO). Der Ge- setzgeber verzichtete auf die Festlegung einer Frist, innerhalb derer ein Ableh- nungsgesuch spätestens zu erfolgen hat. Wie sich aus der Formulierung «ohne Verzug, sobald sie vom Ausstandsgrund Kenntnis hat» ergibt, kann das Recht auf Ausstand indessen nicht ohne zeitliche Beschränkung geltend gemacht werden. Nach der bundesgerichtlichen Rechtsprechung gilt ein Ausstandsgesuch, das sechs bis sieben Tage nach Kenntnis des Ausstandsgrunds eingereicht wird, als rechtzeitig. Ein Zuwarten während zwei oder drei Wochen ist indessen nicht zuläs- sig (Urteil des Bundesgerichts 1B_499/2012 vom 7. November 2012 E. 2.3 mit Hinweisen). Ob vorliegend das Ausstandsgesuch rechtzeitig gestellt wurde, er- scheint fraglich. Da sich das Gesuch inhaltlich als unbegründet erweist (vgl. unten Ziffer 4), kann die Frage der Rechtzeitigkeit aber offen gelassen werden.</w:t>
      </w:r>
    </w:p>
    <w:p>
      <w:r>
        <w:rPr>
          <w:b/>
        </w:rPr>
        <w:t>E. 3</w:t>
      </w:r>
    </w:p>
    <w:p>
      <w:r>
        <w:t>Aussicht gestellt habe, das Verfahren gegen den ursprünglichen Anzeiger (Hunde- halter) einzustellen und die Gesuchstellerin mittels Strafbefehl zu beurteilen. Der Hinweis auf einen missliebigen Verfahrensausgang begründe indessen keinen An- schein der Befangenheit. Die von der Gesuchstellerin in neun Ziffern gemachten Vorwürfe hätten sich – soweit sie überhaupt zutreffen würden – im Verfahren weder zu ihren Lasten ausgewirkt, noch würden sie seine Voreingenommenheit belegen. Das Verfahren sei auf Begehren der Gesuchstellerin in Bezug auf den ursprüngli- chen Anzeiger mehrfach ausgedehnt und mit zusätzlichen Befragungen erweitert worden. Die Gesuchstellerin sei von ihm ernst genommen und nicht etwa benach- teiligt worden.</w:t>
      </w:r>
    </w:p>
    <w:p>
      <w:r>
        <w:rPr>
          <w:b/>
        </w:rPr>
        <w:t>E. 3.1</w:t>
      </w:r>
    </w:p>
    <w:p>
      <w:r>
        <w:t>Die Gesuchstellerin macht sinngemäss geltend, der Gesuchsgegner habe mehrere Verfahrensfehler begangen, die ihn als parteiisch erscheinen liessen. Er wolle sie wegen Beschimpfung bestrafen, habe sie aber darüber nicht informiert, auch nicht in den Vorladungen zu den Einvernahmen. Der Gesuchsgegner habe zudem mehrmals überlesen, dass der Hundehalter ihre Notwehr-Info bei der Polizei zu Protokoll gegeben habe und diese Info auch bei den Vergleichsverhandlungen am 10. März 201 (recte: 2016) nicht festgestellt. An diesen Verhandlungen sei ausser- dem nicht klar gewesen, welche Straftaten verglichen würden. Ausserdem habe der Gesuchsgegner in seinen Verfügungen vom 15. April 2016 und 6. Mai 2016 ih- re Notwehr-Info überlesen bzw. falsch als Nichterwähnen aufgeführt. Ausserdem habe der Gesuchsgegner die Steuerverwaltung mit falscher Straftat angeschrieben. Er habe zudem sieben Monate nach dem Vorfall die Einvernahme wiederholen müssen, weil er sie nicht über die angezeigte Beschimpfung informiert gehabt ha- be. Ihren Beweisantrag auf Befragung des Zeugen C.________, welcher die Be- schimpfung des Hundehalters ihr gegenüber gehört habe, habe der Gesuchsgeg- ner abgelehnt.</w:t>
      </w:r>
    </w:p>
    <w:p>
      <w:r>
        <w:rPr>
          <w:b/>
        </w:rPr>
        <w:t>E. 3.2</w:t>
      </w:r>
    </w:p>
    <w:p>
      <w:r>
        <w:t>Der Gesuchsgegner bringt dagegen vor, die Gesuchsgegnerin beziehe sich offen- sichtlich auf die Tatsache, dass er in der Ansetzung der Frist nach Art. 318 StPO in</w:t>
      </w:r>
    </w:p>
    <w:p>
      <w:r>
        <w:rPr>
          <w:b/>
        </w:rPr>
        <w:t>E. 3.3</w:t>
      </w:r>
    </w:p>
    <w:p>
      <w:r>
        <w:t>Die Gesuchstellerin hält in ihrer Replik zusammengefasst fest, die im Gesuch ge- nannten Verfahrensfehler hätten sich eben doch zu ihren Lasten ausgewirkt. Bei der ersten Befragung sei sie vom Gesuchsgegner nicht über die Strafsache «Be- schimpfung» informiert worden. Dies habe den Prozess verzögert, weshalb sich der Hundehalter nun nicht mehr an seine Beschimpfung ihr gegenüber erinnern möge oder wolle. Nun werde nur sie wegen Beschimpfung bestraft. Ausserdem habe sie beim Obergericht Beschwerde gegen den angekündigten Strafbefehl er- heben müssen, was sie CHF 300.00 gekostet habe. Schliesslich habe sich der Ge- suchsgegner nicht einmal für die Umstände entschuldigt, als sie wegen Unverwert- barkeit erneut habe einvernommen werden müssen. Sie habe zudem einen Straf- antrag einreichen müssen, weil sich der Gesuchsgegner bei der Steuerverwaltung der üblen Nachrede zu ihrem Nachteil strafbar gemacht habe.</w:t>
      </w:r>
    </w:p>
    <w:p>
      <w:r>
        <w:rPr>
          <w:b/>
        </w:rPr>
        <w:t>E. 4</w:t>
      </w:r>
    </w:p>
    <w:p>
      <w:r>
        <w:t>liegen aber nicht vor. Auch die Wiederholung der Einvernahme aufgrund der feh- lerhaften Vorladung begründet keinen solchen besonders schwerwiegenden Ver- fahrensfehler, selbst wenn sich dadurch das Strafverfahren verlängert haben sollte. Bereits im Beschluss des Obergerichts des Kantons Bern BK 16 191 vom 30. Mai 2016 wurde die Gesuchstellerin darauf hingewiesen, dass sie nicht zu hören ist, soweit sich ihre Beschwerde gegen den in Aussicht gestellten Strafbefehl wegen Beschimpfung richtet und es ihr offen stehen wird, sich gegen den Strafbefehl – sobald er erlassen worden ist – mittels Einsprache zur Wehr zu setzen (E. 2). Dar- an hat sich bis heute nichts geändert. Das Verhalten des Gesuchsgegners in die- sem Zusammenhang begründet daher keine Voreingenommenheit. Im Rahmen des der Einsprache folgenden Verfahrens wird die Gesuchstellerin ausserdem ihre Beweisanträge sowie das Argument ihrer «Notwehr-Info» wiederholen können. Dass die Gesuchstellerin den Gesuchsgegner wegen übler Nachrede angezeigt hat, begründet keine Befangenheit.</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Schweizerische Strafprozessordnung, 2. Aufl. 2014, N. 8 zu Vor Art. 56-60 StPO). Gemäss Art. 56 Bst. f StPO tritt eine in einer Strafbehörde tätige Person in den Ausstand, wenn sie aus anderen Gründen (als den in Bst. a-e genannten), ins- besondere wegen Freundschaft oder Feindschaft mit einer Partei oder deren Rechtsbeistand befangen sein könnte.</w:t>
      </w:r>
    </w:p>
    <w:p>
      <w:r>
        <w:rPr>
          <w:b/>
        </w:rPr>
        <w:t>E. 4.2</w:t>
      </w:r>
    </w:p>
    <w:p>
      <w:r>
        <w:t>Allgemeine Verfahrensmassnahmen der Staatsanwaltschaft, seien sie nun richtig oder falsch, vermögen als solche keine Voreingenommenheit zu begründen. Rechts- bzw. Verfahrensfehler sind mit den zur Verfügung stehenden Rechtsmitteln zu korrigieren und lassen keine Schlüsse auf Befangenheit zu, es sei denn, es handle sich um besonders schwerwiegende oder sich wiederholende Mängel (Ur- teil des Bundesgerichts 1B_294/2009 vom 20. Januar 2010 E. 4.2). Solche Mängel</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