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285 vom 15. Juli 2016</w:t>
      </w:r>
    </w:p>
    <w:p>
      <w:r>
        <w:t>BE Obergericht, 2016-07-15, DE</w:t>
      </w:r>
    </w:p>
    <w:p>
      <w:r>
        <w:rPr>
          <w:b/>
        </w:rPr>
        <w:t xml:space="preserve">Quelle: </w:t>
      </w:r>
      <w:r>
        <w:t>https://mcp.opencaselaw.ch/entscheid/be_zivilstraf_BK_2016_285</w:t>
      </w:r>
    </w:p>
    <w:p>
      <w:r>
        <w:t>FR: BE_ZIVILSTRAF BK 2016 285 du 15 juillet 2016</w:t>
      </w:r>
    </w:p>
    <w:p>
      <w:r>
        <w:t>IT: BE_ZIVILSTRAF BK 2016 285 del 15 luglio 2016</w:t>
      </w:r>
    </w:p>
    <w:p>
      <w:pPr>
        <w:pStyle w:val="Heading2"/>
      </w:pPr>
      <w:r>
        <w:t>Regeste</w:t>
      </w:r>
    </w:p>
    <w:p>
      <w:r>
        <w:t>Nichtanhandnahme Strafverfahren wegen Betrugs | Einstellung/Nichtanhandnahme</w:t>
      </w:r>
    </w:p>
    <w:p>
      <w:pPr>
        <w:pStyle w:val="Heading2"/>
      </w:pPr>
      <w:r>
        <w:t>Erwägungen</w:t>
      </w:r>
    </w:p>
    <w:p>
      <w:r>
        <w:rPr>
          <w:b/>
        </w:rPr>
        <w:t>E. 1</w:t>
      </w:r>
    </w:p>
    <w:p>
      <w:r>
        <w:t>Am 28. Juni 2016 nahm die Regionale Staatsanwaltschaft Bern-Mittelland die An- zeige von B.________ (nachfolgend Beschwerdeführer) gegen A.________ (nach- folgend Beschuldigter) wegen Betrugs nicht an die Hand. Gegen diese Verfügung erhob B.________ am 8. Juli 2016 (Eingang 11. Juli 2016) Beschwerde und beantragte, die Verfügung sei aufzuheben und die Sache an die Vorinstanz zurückzuweisen, möglicherweise sei die Einleitung eines Verfahrens gegen die Staatsanwältin wegen vorsätzlicher Rechtsbeugung, Amtsmissbrauchs in Form der Vorspiegelung falscher Tatsachen etc. zu veranlassen, alles unter Kos- tenfolge an den Staat. Mit Blick auf das Nachfolgende wurde auf das Einholen einer Stellungnahme bzw. die Durchführung eines Schriftenwechsels verzichtet (Art. 390 Abs. 2 StPO).</w:t>
      </w:r>
    </w:p>
    <w:p>
      <w:r>
        <w:rPr>
          <w:b/>
        </w:rPr>
        <w:t>E. 2</w:t>
      </w:r>
    </w:p>
    <w:p>
      <w:r>
        <w:t>Gegen Verfügungen und Verfahrenshandlungen der Staatsanwaltschaft kann bei der Beschwerdekammer in Strafsachen innert zehn Tagen schriftlich und begrün- det Beschwerde geführt werden (Art. 393 Abs. 1 lit. a i.V.m. Art. 396 Abs. 1 StPO, Art. 35 des Gesetzes über die Organisation der Gerichtsbehörden und der Staats- anwaltschaft [GSOG; BSG 161.1]). Zur Beschwerde legitimiert ist jede Partei, die ein rechtlich geschütztes Interesse an der Aufhebung oder Änderung eines Ent- scheides hat (Art. 382 Abs. 1 StPO). Als Strafkläger ist der Beschwerdeführer durch die Nichtanhandnahmeverfügung beschwert. Auf die form- und fristgerechte Beschwerde ist einzutreten.</w:t>
      </w:r>
    </w:p>
    <w:p>
      <w:r>
        <w:rPr>
          <w:b/>
        </w:rPr>
        <w:t>E. 3</w:t>
      </w:r>
    </w:p>
    <w:p>
      <w:r>
        <w:t>Die Staatsanwaltschaft weist den Beschwerdeführer in der angefochtenen Verfü- gung darauf hin, dass die von ihm angezeigten angeblichen Pflichtverletzungen im Rahmen eines Auftragsverhältnisses – wenn schon – im Zivil- und nicht im Straf- verfahren geltend zu machen wären. Des Weiteren legt sie dar, dass die Tatbe- standselemente des Betruges nach Art. 146 Abs. 1 StGB oder auch andere Straf- tatbestände offensichtlich nicht erfüllt sind. Es ist nicht ersichtlich, inwiefern der Beschuldigte durch die Einforderung eines Kostenvorschusses oder das In-Rechnung-Stellen von Arbeitszeitaufwänden fal- sche Tatsachen vorgespiegelt, Täuschungshandlungen vorgenommen oder gar arglistig gehandelt hätte. Was der Beschwerdeführer vorbringt ist unbegründet und erschöpft sich in einer unsachlichen Kritik an der zuständigen Staatsanwältin. Die Nichtanhandnahmeverfügung ist nicht zu beanstanden.</w:t>
      </w:r>
    </w:p>
    <w:p>
      <w:r>
        <w:rPr>
          <w:b/>
        </w:rPr>
        <w:t>E. 4</w:t>
      </w:r>
    </w:p>
    <w:p>
      <w:r>
        <w:t>Die Kosten des Rechtsmittelverfahrens tragen die Parteien nach Massgabe ihres Obsiegens oder Unterliegens (Art. 428 Abs. 1 StPO). Demzufolge sind die Kosten des Beschwerdeverfahrens dem Beschwerdeführer aufzuerlegen.</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