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256 vom 5. August 2016</w:t>
      </w:r>
    </w:p>
    <w:p>
      <w:r>
        <w:t>BE Obergericht, 2016-08-05, DE</w:t>
      </w:r>
    </w:p>
    <w:p>
      <w:r>
        <w:rPr>
          <w:b/>
        </w:rPr>
        <w:t xml:space="preserve">Quelle: </w:t>
      </w:r>
      <w:r>
        <w:t>https://mcp.opencaselaw.ch/entscheid/be_zivilstraf_BK_2016_256</w:t>
      </w:r>
    </w:p>
    <w:p>
      <w:r>
        <w:t>FR: BE_ZIVILSTRAF BK 2016 256 du 5 août 2016</w:t>
      </w:r>
    </w:p>
    <w:p>
      <w:r>
        <w:t>IT: BE_ZIVILSTRAF BK 2016 256 del 5 agosto 2016</w:t>
      </w:r>
    </w:p>
    <w:p>
      <w:pPr>
        <w:pStyle w:val="Heading2"/>
      </w:pPr>
      <w:r>
        <w:t>Regeste</w:t>
      </w:r>
    </w:p>
    <w:p>
      <w:r>
        <w:t>Erkennungsdienstliche Erfassung</w:t>
      </w:r>
    </w:p>
    <w:p>
      <w:pPr>
        <w:pStyle w:val="Heading2"/>
      </w:pPr>
      <w:r>
        <w:t>Erwägungen</w:t>
      </w:r>
    </w:p>
    <w:p>
      <w:r>
        <w:rPr>
          <w:b/>
        </w:rPr>
        <w:t>E. 1.1</w:t>
      </w:r>
    </w:p>
    <w:p>
      <w:r>
        <w:t>Die Regionale Jugendanwaltschaft Bern-Mittelland (nachfolgend: Jugendanwalt- schaft) führt gegen A.________ (nachfolgend: Beschwerdeführer) ein Strafverfah- ren wegen einfacher Körperverletzung, Tätlichkeiten und Freiheitsberaubung. Dem Beschwerdeführer wird vorgeworfen, anlässlich eines Lagers der Kirchlichen Un- terweisung (nachfolgend: KUW-Lager) am 2./3. April 2016 gemeinsam mit fünf wei- teren Jugendlichen C.________ (nachfolgend: Privatkläger) mehrfach gefesselt, ihm einen Kissenbezug über den Kopf gestülpt und ihn in diesem Zustand durch den Raum gezogen zu haben, so dass sich der Privatkläger Verletzungen zuzog.</w:t>
      </w:r>
    </w:p>
    <w:p>
      <w:r>
        <w:rPr>
          <w:b/>
        </w:rPr>
        <w:t>E. 1.2</w:t>
      </w:r>
    </w:p>
    <w:p>
      <w:r>
        <w:t>Am 31. Mai 2016 wurde der Beschwerdeführer von der Kantonspolizei Bern zur erkennungsdienstlichen Erfassung aufgeboten. Diesem Aufgebot leistete der Be- schwerdeführer keine Folge. Am 21. Juni 2016 wurde die erkennungsdienstliche Erfassung innerhalb von zwei Tagen von der Jugendanwaltschaft verfügt, unter Androhung der polizeilichen Zuführung, sollte diese Frist nicht eingehalten werden. Gegen diese Verfügung erhob der Beschwerdeführer, amtlich verteidigt durch Für- sprecher B.________, am 23. Juni 2016 Beschwerde. Er beantragte, die angefoch- tene Verfügung sei aufzuheben und der Beschwerde sei die aufschiebende Wir- kung zu erteilen. Am 24. Juni 2016 erteilte die Verfahrensleitung der Beschwerde- kammer in Strafsachen der Beschwerde die aufschiebende Wirkung. Die Leitende Jugendanwältin nahm am 7. Juli 2016 zur Beschwerde Stellung und beantragte de- ren kostenfällige Abweisung. Der Beschwerdeführer replizierte am 14. Juli 2016 und hielt an seinen Anträgen fest.</w:t>
      </w:r>
    </w:p>
    <w:p>
      <w:r>
        <w:rPr>
          <w:b/>
        </w:rPr>
        <w:t>E. 2</w:t>
      </w:r>
    </w:p>
    <w:p>
      <w:r>
        <w:t>Gemäss Art. 39 Abs. 1 der Jugendstrafprozessordnung (JStPO; SR 312.1) i.V.m. Art. 393 der Strafprozessordnung (StPO; SR 312) ist gegen Verfügungen und Ver- fahrenshandlungen der Jugendanwaltschaft die Beschwerde zulässig. Die Zustän- digkeit der Beschwerdekammer in Strafsachen des Obergerichts des Kantons Bern ergibt sich aus Art. 39 Abs. 3 JStPO und Art. 35 des Gesetzes über die Organisati- on der Gerichtsbehörden und der Staatsanwaltschaft (GSOG; BSG 161.1) i.V.m. Art. 29 Abs. 2 Bst. b des Organisationsreglements des Obergerichts (OrR OG; BSG 162.11). Der Beschwerdeführer ist durch die angeordnete erkennungsdienst- liche Erfassung seiner Person in seinen rechtlich geschützten Interessen betroffen und damit zur Ergreifung der Beschwerde legitimiert (Art. 38 Abs. 1 Bst. a und Abs. 3 JStPO i.V.m. Art. 382 StPO). Auf die im Weiteren frist- und formgerechte Beschwerde ist einzutreten.</w:t>
      </w:r>
    </w:p>
    <w:p>
      <w:r>
        <w:rPr>
          <w:b/>
        </w:rPr>
        <w:t>E. 3</w:t>
      </w:r>
    </w:p>
    <w:p>
      <w:r>
        <w:t>Gründe bezeichne, weshalb die Erfassung zur Identifikation und Sachverhaltser- mittlung erforderlich sein solle, sei der Eingriff unzulässig. In seiner Replik ergänzt der Beschwerdeführer, der übersteigerte polizeiliche Da- tensammeleifer ohne konkreten Nutzen und Anlass sei kaum je durch ein öffentli- ches Interesse gedeckt. Ausserdem fehle es an der Erforderlichkeit der angeordne- ten Zwangsmassnahme. Dies lasse sich nicht dadurch heilen, dass die Jugendan- waltschaft es als für einen dreizehnjährigen Jugendlichen zumutbar erachte, sich fotografieren und Fingerabdrücke abnehmen zu lassen. Die Stellungnahme der Lei- tenden Jugendanwältin begründe nicht mehr als eine theoretische Nützlichkeit der Erfassung, welche grundsätzlich in jedem Fall bestehe. Sie mache geltend, dass auch erwachsene Personen am Lager teilgenommen hätten, die die involvierten Personen allenfalls nicht so gut kennen würden. Offenbar sei aber nicht einmal der Privatkläger in seiner Anzeige davon ausgegangen, dass diese Personen zur Klärung des Sachverhaltes beitragen könnten. Bei der Frage der Verhältnismässig- keit sei ausserdem zu berücksichtigen, dass eine erkennungsdienstliche Erfassung nicht auf den Erfassungsakt reduziert sei. Die Daten selber könnten selbst bei ge- ringfügiger Strafe noch während fünf Jahren gespeichert bleiben. Insgesamt sei die Zwangsmassnahme unverhältnismässig. Dies werde auch nicht durch den Hinweis geheilt, dass es sich bei den angezeigten Delikten um keine Bagatellen handle.</w:t>
      </w:r>
    </w:p>
    <w:p>
      <w:r>
        <w:rPr>
          <w:b/>
        </w:rPr>
        <w:t>E. 4</w:t>
      </w:r>
    </w:p>
    <w:p>
      <w:r>
        <w:t>JStPO; STUDER, Jugendliche Intensivtäter in der Schweiz, in: ZStrR 67/2013 S. 146). Zweck einer erkennungsdienstlichen Erfassung gemäss Art. 260 StPO ist die Ab- klärung des Sachverhalts, worunter insbesondere die Feststellung der Identität ei- ner Person fällt (vgl. BBl 2006 1243 Ziff. 2.5.6; BGE 141 IV 87 E. 1.3.3). Herkömm- licherweise geschieht dies durch die Erfassung äusserer Körpermerkmale bzw. äusserlich wahrnehmbarer Merkmale einer Person wie das Erstellen von Fotografi- en, die Abnahme von Finger- oder Handballenabdrücken, die Signalementsauf- nahme, die Körpervermessung oder die Anordnung von Schrift- oder Sprechproben (BGE 128 II 259 E. 3.4.1). Nach der bundesgerichtlichen Rechtsprechung ist eine erkennungsdienstliche Erfassung auch zulässig, wenn sie nicht für die Aufklärung der Straftat erforderlich ist, derer eine Person im hängigen Strafverfahren beschul- digt wird. Damit diese Zwangsmassnahme verhältnismässig ist, müssen erhebliche und konkrete Anhaltspunkte dafür bestehen, dass die beschuldigte Person in ande- re - bereits begangene oder künftige - Delikte von gewisser Schwere verwickelt sein könnte (BGE 141 IV 87 E. 1.3.1 und E. 1.4.1; Urteile 1B_111/2015 vom 20. August 2015 E. 2.4 und 3.2; 1B_57/2013 vom 2. Juli 2013 E. 3.2; 1B_685/2011 vom 23. Februar 2012 E. 3.4; je mit Hinweisen).</w:t>
      </w:r>
    </w:p>
    <w:p>
      <w:r>
        <w:rPr>
          <w:b/>
        </w:rPr>
        <w:t>E. 4.1</w:t>
      </w:r>
    </w:p>
    <w:p>
      <w:r>
        <w:t>Gemäss Art. 260 Abs. 1 StPO werden bei der erkennungsdienstlichen Erfassung die Körpermerkmale einer Person festgestellt und Abdrücke von Körperteilen ge- nommen. Erkennungsdienstliche Massnahmen und die Aufbewahrung der Daten stellen einen Eingriff in das Recht auf persönliche Freiheit (Art. 10 Abs. 2 Bundes- verfassung der Schweizerischen Eidgenossenschaft [BV; SR 101]) und auf infor- mationelle Selbstbestimmung (Art. 13 Abs. 2 BV) dar (BGE 136 I 87 E. 5.1; 128 II 259 E. 3.2; je mit Hinweisen). Es handelt sich lediglich um einen leichten Eingriff in diese Grundrechte (BGE 134 III 241 E. 5.4.3; 128 II 259 E. 3.3; Urteile 1B_111/2015 vom 20. August 2015 E. 3.1; 2C_257/2011 vom 25. Oktober 2011 E. 6.7.3; vgl. jedoch zur Eingriffsschwere durch die Verwendung und Aufbewahrung der Ergebnisse: Botschaft vom 21. Dezember 2005 zur Vereinheitlichung des Strafprozessrechts, BBl 2006 1244 Ziff. 2.5.6). Einschränkungen von Grundrechten müssen nach Art. 36 Abs. 2 und 3 BV durch ein öffentliches Interesse gerechtfertigt und verhältnismässig sein. Dies konkretisiert Art. 197 Abs. 1 StPO. Danach können Zwangsmassnahmen nur ergriffen werden, wenn sie gesetzlich vorgesehen sind (Bst. a), ein hinreichender Tatverdacht vorliegt (Bst. b), die damit angestrebten Zie- le nicht durch mildere Massnahmen erreicht werden können (Erforderlichkeit, Bst. c) und die Bedeutung der Straftat die Zwangsmassnahme rechtfertigt (Bst. d). Die erkennungsdienstliche Erfassung darf auch bei Jugendlichen durchgeführt werden (Art. 3 Abs. 1 JStPO). Dabei sind die Grundsätze von Art. 4 JStPO zu be- achten: Das Alter, der Entwicklungsstand und die Persönlichkeitsrechte des Ju- gendlichen sind besonders zu berücksichtigen. Das Strafverfahren darf nicht mehr als nötig in das Privatleben des Jugendlichen und in den Einflussbereich der ge- setzlichen Vertretung eingreifen (Art. 3 Abs. 3 JStPO i.V.m. Art. 4 Abs. 1 und 2</w:t>
      </w:r>
    </w:p>
    <w:p>
      <w:r>
        <w:rPr>
          <w:b/>
        </w:rPr>
        <w:t>E. 4.2</w:t>
      </w:r>
    </w:p>
    <w:p>
      <w:r>
        <w:t>Der hinreichende Tatverdacht gegen den Beschwerdeführer wird von diesem nicht ausdrücklich bestritten. Er ist aufgrund der Aktenlage derzeit zu bejahen. Nach Ansicht der Jugendanwaltschaft sind Fotografien des Beschwerdeführers er- forderlich, damit bei den noch bevorstehenden Einvernahmen die Möglichkeit be- stehe, bei Bedarf einen Fotowahlbogen vorzulegen, um eine klare Identifizierung der erwähnten Personen vorzunehmen und Verwechslungen zu vermeiden. Die Erhebung von Fingerabdrücken sei zwingend mit den Fotografien verbunden, wolle man den Zweck eindeutiger Identifizierung nicht gefährden. Eine konkrete Ver- wechslungsgefahr wird zwar vom Gesetzgeber nicht als Voraussetzung für eine er- kennungsdienstliche Erfassung genannt. Wenn die Jugendanwaltschaft aber zur Begründung der Erforderlichkeit geltend macht, es bestehe das Bedürfnis der Iden- tifizierung des Beschwerdeführers, so setzt dies eben eine Verwechslungsgefahr voraus. Indessen gesteht die Jugendanwaltschaft aber ein, dass die Identität des Beschwerdeführers klar und zwischen den Mitbeschuldigten nicht von einer Ver- wechslungsgefahr auszugehen sei. Am KUW-Lager hätten aber auch Erwachsene (konkret zwei Frauen des Küchenpersonals) teilgenommen, von denen nicht be- kannt sei, inwiefern sie im Arbeitsalltag mit den Jugendlichen konfrontiert seien. Ei- ne Befragung dieser Personen wird aber weder in der Anzeige verlangt, noch von der Jugendanwaltschaft konkret in Aussicht gestellt. Angesichts der Tatsache, dass bei den Vorfällen keine Erwachsenen zugegen waren, drängt sich denn eine Befra- gung der von der Jugendanwaltschaft genannten Personen auch nicht auf. Die ver- fügte erkennungsdienstliche Erfassung geht somit über das Notwendige hinaus und ist mit dem öffentlichen Interesse nicht mehr zu rechtfertigen. Selbst wenn es bei einem Zuwarten mit der Erstellung der Fotografien theoretisch denkbar ist, dass die Jugendanwaltschaft eine Einvernahme unterbrechen muss, um die Fotografien nachträglich zu erstellen, begründet dies noch keine Einschränkung ihrer Untersu-</w:t>
      </w:r>
    </w:p>
    <w:p>
      <w:r>
        <w:rPr>
          <w:b/>
        </w:rPr>
        <w:t>E. 5</w:t>
      </w:r>
    </w:p>
    <w:p>
      <w:r>
        <w:t>chungen. Die Erforderlichkeit der erkennungsdienstlichen Erfassung ist demnach zu verneinen. Unter dem Aspekt der Verhältnismässigkeit im engeren Sinn sind die Angemes- senheit und Zumutbarkeit einer Zwangsmassnahme zu überprüfen. Die Tatsache, dass dem Beschwerdeführer keine Bagatelldelikte vorgeworfen werden, ist zwar bei der Verhältnismässigkeitsprüfung zu berücksichtigen. Sie ist aber nicht alleine ausschlaggebend. Selbst wenn die erkennungsdienstliche Erfassung im Vergleich etwa mit der Untersuchungshaft einen bloss leichten Eingriff in die Persönlichkeits- rechte darstellt, muss sich deren Anordnung stets auch an der Persönlichkeit, dem Alter und dem Entwicklungsstand des jugendlichen Beschuldigten orientieren. Der Beschwerdeführer ist erst dreizehn Jahre alt und bisher nicht strafrechtlich in Er- scheinung getreten. Seine Klassenlehrperson beschreibt den Beschwerdeführer in ihrem Bericht als Schüler mit guten Leistungen, der im Klassengefüge Verantwor- tung übernehme, mit allen gut auskomme und mit dem es weder im Unterricht noch in Lagern oder auf Reisen zu besonderen Vorkommnissen gekommen sei. Zu berücksichtigen ist bei der Frage der Angemessenheit und Zumutbarkeit des Ein- griffs ausserdem die Tatsache, dass die erkennungsdienstlichen Daten mit Zu- stimmung der Verfahrensleitung selbst bei Freispruch oder Einstellung des Verfah- rens bis zu zehn Jahre nach Rechtskraft des Entscheides aufbewahrt und verwen- det werden können (Art. 261 Abs. 2 StPO). Selbst im Fall einer bloss geringfügigen Strafe (Verweis, persönliche Leistung oder Busse) würden die Daten erst nach fünf Jahren gelöscht (Art. 17 Abs. 1 Bst. g der Verordnung über die Bearbeitung biome- trischer erkennungsdienstlicher Daten [SR 361.3]).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