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238 vom 29. Januar 2013</w:t>
      </w:r>
    </w:p>
    <w:p>
      <w:r>
        <w:t>BE Obergericht, 2013-01-29, DE</w:t>
      </w:r>
    </w:p>
    <w:p>
      <w:r>
        <w:rPr>
          <w:b/>
        </w:rPr>
        <w:t xml:space="preserve">Quelle: </w:t>
      </w:r>
      <w:r>
        <w:t>https://mcp.opencaselaw.ch/entscheid/be_zivilstraf_BK_2012_238</w:t>
      </w:r>
    </w:p>
    <w:p>
      <w:r>
        <w:t>FR: BE_ZIVILSTRAF BK 2012 238 du 29 janvier 2013</w:t>
      </w:r>
    </w:p>
    <w:p>
      <w:r>
        <w:t>IT: BE_ZIVILSTRAF BK 2012 238 del 29 gennaio 2013</w:t>
      </w:r>
    </w:p>
    <w:p>
      <w:pPr>
        <w:pStyle w:val="Heading2"/>
      </w:pPr>
      <w:r>
        <w:t>Regeste</w:t>
      </w:r>
    </w:p>
    <w:p>
      <w:r>
        <w:t>Entschädigung für Verteidigung (Leitentscheid) | Andere Verfügungen StA, Polizei (393-a)</w:t>
      </w:r>
    </w:p>
    <w:p>
      <w:pPr>
        <w:pStyle w:val="Heading2"/>
      </w:pPr>
      <w:r>
        <w:t>Erwägungen</w:t>
      </w:r>
    </w:p>
    <w:p>
      <w:r>
        <w:rPr>
          <w:b/>
        </w:rPr>
        <w:t>E. 1</w:t>
      </w:r>
    </w:p>
    <w:p>
      <w:r>
        <w:t>BK 2012 238 Beschluss der Beschwerdekammer in Strafsachen Oberrichter Stucki (Präsident i.V.), Oberrichter Trenkel, Oberrichter Niklaus Gerichtsschreiberin Beldi vom 29. Januar 2013 in der Strafsache A. verteidigt durch Rechtsanwalt X. Beschuldigter/Beschwerdeführer wegen Diebstahls etc. / Entschädigung für Verteidigung Regeste Der bernische Gesetzgeber hat sich bei der Bestimmung des Parteikostenersatzes gemäss Art. 41 des Kantonalen Anwaltsgesetzes bewusst für die Einführung von Rahmentarifen ausgesprochen. Der Beschluss der leitenden Staatsanwälte vom 15. März 2012, wonach von einem festen Stundenansatz von Fr. 250.00 auszugehen sei, ist somit gesetzeswidrig. Innerhalb des vorgegebenen Rahmens bemisst sich der Parteikostenersatz nach den Kriterien von Art. 41 Abs. 3 KAG, d.h. nach dem „in der Sache gebotenen Zeitaufwand“ (lit. a) und „der Bedeutung der Streitsache und der Schwierigkeit des Prozesses“ (lit. b). Der gebotene Zeitaufwand deckt sich nicht zwingend mit dem tatsächlich erbrachten Aufwand. Ausserdem können sich Schwierigkeit des Falls und die Bedeutung der Streitsache neben und zusätzlich zum Zeitaufwand auf das Honorar bzw. auf den Parteikostenersatz auswirken. Die Beschwerdekammer in Strafsachen hat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