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37 vom 5. April 2011</w:t>
      </w:r>
    </w:p>
    <w:p>
      <w:r>
        <w:t>BE Obergericht, 2011-04-05, DE</w:t>
      </w:r>
    </w:p>
    <w:p>
      <w:r>
        <w:rPr>
          <w:b/>
        </w:rPr>
        <w:t xml:space="preserve">Quelle: </w:t>
      </w:r>
      <w:r>
        <w:t>https://mcp.opencaselaw.ch/entscheid/be_zivilstraf_BK_2011_37</w:t>
      </w:r>
    </w:p>
    <w:p>
      <w:r>
        <w:t>FR: BE_ZIVILSTRAF BK 2011 37 du 5 avril 2011</w:t>
      </w:r>
    </w:p>
    <w:p>
      <w:r>
        <w:t>IT: BE_ZIVILSTRAF BK 2011 37 del 5 aprile 2011</w:t>
      </w:r>
    </w:p>
    <w:p>
      <w:pPr>
        <w:pStyle w:val="Heading2"/>
      </w:pPr>
      <w:r>
        <w:t>Regeste</w:t>
      </w:r>
    </w:p>
    <w:p>
      <w:r>
        <w:t>Verhältnismässigkeit der erkennungsdienstlichen Erfassung (Leitentscheid) | Andere Verfügungen StA, Polizei (393-a)</w:t>
      </w:r>
    </w:p>
    <w:p>
      <w:pPr>
        <w:pStyle w:val="Heading2"/>
      </w:pPr>
      <w:r>
        <w:t>Erwägungen</w:t>
      </w:r>
    </w:p>
    <w:p>
      <w:r>
        <w:rPr>
          <w:b/>
        </w:rPr>
        <w:t>E. 1</w:t>
      </w:r>
    </w:p>
    <w:p>
      <w:r>
        <w:t>Die Beschwerde wird teilweise gutgeheissen und Staatsanwalt G. wird angewiesen, die von der Beschwerdeführerin durch die erkennungsdienstliche Erfassung erstellten Proben (DNA, Fingerabdrücke, Fotographien etc.) aus den Akten zu entfernen und zu vernichten.</w:t>
      </w:r>
    </w:p>
    <w:p>
      <w:r>
        <w:rPr>
          <w:b/>
        </w:rPr>
        <w:t>E. 2</w:t>
      </w:r>
    </w:p>
    <w:p>
      <w:r>
        <w:t>Im Weiteren wird die Beschwerde abgewiesen, soweit darauf einzutreten ist.</w:t>
      </w:r>
    </w:p>
    <w:p>
      <w:r>
        <w:rPr>
          <w:b/>
        </w:rPr>
        <w:t>E. 3</w:t>
      </w:r>
    </w:p>
    <w:p>
      <w:r>
        <w:t>Die Kosten des Beschwerdeverfahrens werden bestimmt auf Fr. 1'000.00 und je zur Hälfte der Beschwerdeführerin und dem Kanton Bern auferlegt.</w:t>
      </w:r>
    </w:p>
    <w:p>
      <w:r>
        <w:rPr>
          <w:b/>
        </w:rPr>
        <w:t>E. 4</w:t>
      </w:r>
    </w:p>
    <w:p>
      <w:r>
        <w:t>Der Beschwerdeführerin ist eine Entschädigung von Fr. 1'000.00 auszurichten, unter Verrechnung mit den ihr auferlegten Verfahrenskosten von Fr. 500.00.</w:t>
      </w:r>
    </w:p>
    <w:p>
      <w:r>
        <w:rPr>
          <w:b/>
        </w:rPr>
        <w:t>E. 5</w:t>
      </w:r>
    </w:p>
    <w:p>
      <w:r>
        <w:t>Zu eröffnen: - der Beschwerdeführerin, verteidigt durch Rechtsanwalt B. - der Generalstaatsanwaltschaft Mitzuteilen: - der Regionalen Staatsanwaltschaft Bern-Mittelland Begründung: 1. Prozessgeschichte a. Gegen A. läuft seit dem 26. Januar 2011 ein Strafverfahren wegen Veruntreuung zum Nachteil des Auktionshauses C. Im Rahmen dieses Verfahrens wurde bei ihr am</w:t>
      </w:r>
    </w:p>
    <w:p>
      <w:r>
        <w:rPr>
          <w:b/>
        </w:rPr>
        <w:t>E. 7</w:t>
      </w:r>
    </w:p>
    <w:p>
      <w:r>
        <w:t>Februar 2011 eine Hausdurchsuchung durchgeführt. Dabei wurden ein Collier, ein Ring und eine Zigarettendose sichergestellt und beschlagnahmt. Ein weiteres Collier (Adamek) wurde direkt der Polizei übergeben. Gleichentags wurde A. erkennungs- dienstlich erfasst. b. Gegen die Beschlagnahme der Wertsachen sowie gegen die erkennungsdienstliche Erfassung erhob A. am 11. Februar 2011 Beschwerde und beantragte die Aufhebung der Beschlagnahme und die Rückgabe der erwähnten Gegenstände an sie. Zusätzlich verlangte sie, dass die im Rahmen der erkennungsdienstlichen Erfassung erlangten Proben und Abdrücke aus den Akten zu entfernen und zu vernichten seien. Ausser- dem sei festzustellen, dass die im Rahmen der durchgeführten Zwangsmassnahmen erlangten Beweismittel nicht verwertet werden dürfen und es sei ihr eine angemesse- ne Genugtuung im richterlichen Ermessen auszurichten. Mit Verfügung vom 22. Fe- bruar 2011 eröffnete die Präsidentin der Beschwerdekammer ein Beschwerdeverfah- ren und gab der Generalstaatsanwaltschaft Gelegenheit, innert 20 Tagen eine Stel- lungnahme einzureichen. Diese ging innert Frist am 2. März 2011 ein. Die Beschwer- deführerin replizierte mit Eingabe vom 13. März 2011. 2. Formelles a. Gegen Verfügungen und Verfahrenshandlungen der Staatsanwaltschaft kann innert</w:t>
      </w:r>
    </w:p>
    <w:p>
      <w:r>
        <w:rPr>
          <w:b/>
        </w:rPr>
        <w:t>E. 10</w:t>
      </w:r>
    </w:p>
    <w:p>
      <w:r>
        <w:t>In einem Entscheid aus dem Jahr 2007 hat die Anklagekammer festgehalten, dass die Entnahme einer DNA-Probe nicht einer blossen erkennungsdienstlichen Behandlung gleichgeordnet werden kann (AK 2007 582 E 5). Auch aus dem Wortlaut von Art. 255 Abs. 1 lit. a StPO, der die Voraussetzungen für die DNA-Analyse regelt, könnte abge- leitet werden, dass DNA-Proben nur zur Abklärung eines bereits begangenen Delikts (Verbrechen oder Vergehen), dessen die betroffene Person verdächtig ist, abgenom- men werden können (SCHMID, Praxiskommentar, a.a.O., Art. 255 N 2). Diese Auffas- sung liesse sich zudem durch eine systematische Auslegung des Gesetzes begrün- den, da das Gericht bei einer verurteilten Person die Erstellung eines DNA-Profils an- ordnen kann, wenn diese wegen eines vorsätzlich begangenen Verbrechens zu einer Freiheitsstrafe von mehr als einem Jahr verurteilt worden ist (Art. 257 lit. a StPO). Ei- ne vom Gesetzgeber so hoch angesetzte Schranke für die Zulässigkeit der DNA- Analyse würde wenig Sinn machen, wenn automatisch jeder angezeigten Person eine Probe entnommen werden könnte. So bezieht sich auch SCHMID in der von der Gene- ralstaatsanwaltschaft zitierten Textstelle, wonach die routinemässige erkennungs- dienstliche Erfassung von beschuldigten Personen zulässig sei, ausdrücklich auf Art. 260 StPO, also nicht direkt auf die DNA-Analyse (SCHMID, Praxiskommentar, a.a.O., Art. 260 N. 5). Auch ROHMER rät von einer solchen systematischen Erfassung ausdrücklich ab (ROHMER, in: Commentaire Romand, Code de procédure pénale suisse, Basel 2011, Art. 255 N 15). Sie geht sogar soweit, eine Profilerstellung abzu- lehnen, wenn das Verbrechen oder Vergehen bereits anderweitig, also ungeachtet der DNA-Probe, aufgeklärt werden kann (ROHMER, a.a.O., Art. 255 N 16). Geht man indessen davon aus, dass die Entnahme einer DNA-Probe unter die erken- nungsdienstlichen Massnahmen nach Art. 260 StPO fällt, kann diese unter den glei- chen Voraussetzungen angeordnet werden. Erkennungsdienstliche Massnahmen ver- folgen das doppelte Ziel, einerseits aufgrund der erfassten Merkmale nicht aufgeklärte Straftaten bestimmten Person zuzuordnen und andererseits bei künftigen Taten eine Wiedererkennung zu ermöglichen (BGE 128 II 259 E 3.4.1 mit weiteren Hinweisen). Bei der Person, bei der die Massnahmen angeordnet werden, muss indessen immer- hin mit einer substanziell erhöhten Wahrscheinlichkeit damit zu rechnen sein, dass sie sich in der Vergangenheit oder in der Zukunft anderer Delikte von gewisser Schwere schuldig gemacht hat oder machen wird (HANSJAKOB, in: Kommentar zur Schweizeri- schen Strafprozessordnung, Zürich 2010, Art. 255 N 10; SCHMID, Praxiskommentar, a.a.O., Art. 255 N 2; BGE 120 Ia 147 E 2d). Somit wäre die DNA-Probe beispielsweise im Falle eines Einbruchdiebstahls zulässig, ohne dass die Profilerstellung zur Klärung dieses einen Einbruchs erforderlich sein müsste, da kriminologisch gesicherte Erfah- rungstatsachen zeigen, dass sie zur Aufklärung von Delikten dieser Art führen. Bei einfachem Ladendiebstahl wiederum wäre die Entnahme einer DNA-Probe nicht zulässig, weil es an der erforderlichen Schwere des Delikts mangeln würde. Der Beschwerdeführerin wird Veruntreuung von Schmuckstücken vorgeworfen, die ihr während der Ehe vom Privatkläger übergeben worden sind. Der Hintergrund des Ganzen ist eine durch die Scheidung der Parteien bedingte zivilrechtliche Streitigkeit. Die Beschwerdeführerin ist bisher strafrechtlich nicht in Erscheinung getreten. Auch kann nach Ansicht der Kammer nicht davon ausgegangen werden, dass sie in Zukunft in ein Delikt von gewisser Schwere verwickelt werden könnte. Ebenso wenig kann die</w:t>
      </w:r>
    </w:p>
    <w:p>
      <w:r>
        <w:rPr>
          <w:b/>
        </w:rPr>
        <w:t>E. 11</w:t>
      </w:r>
    </w:p>
    <w:p>
      <w:r>
        <w:t>erkennungsdienstliche Behandlung (inkl. Entnahme einer DNA-Probe) zur Aufklärung des aktuell gegen sie erhobenen Vorwurfs dienlich sein. Unabhängig davon, welcher der oben wiedergegebenen Meinungen vorliegend gefolgt wird, ist die erkennungs- dienstliche Erfassung der Beschwerdeführerin offensichtlich nicht von Nutzen. Sie ist also weder geeignet noch erforderlich (Art. 197 Abs. 1 lit. c StPO). Hinzu kommt, dass die Beschwerdeführerin den Strafverfolgungsbehörden jederzeit zur Verfügung ge- standen hat und die erkennungsdienstliche Behandlung, falls sie im Verlaufe des Ver- fahrens doch notwendig geworden wäre, problemlos zu einem späteren Zeitpunkt hät- te durchgeführt werden können. Die routinemässige, vorgängige Erfassung der Be- schwerdeführerin erweist sich unter den gegebenen Umständen als unverhältnismäs- sig und stellt damit einen unzulässigen Grundrechtseingriff dar. Nach dem Gesagten ist die Beschwerde in diesem Punkt begründet. Der Antrag auf Entfernung bzw. Vernichtung der Proben und Akten ist zwar gegenüber der Staatsan- waltschaft nie gestellt worden und demnach nicht Gegenstand des vorliegenden Be- schwerdeverfahrens. Die Beschwerdekammer will aber unnötige Weiterungen ver- meiden. Staatsanwalt G. wird demzufolge angewiesen, die im Rahmen der erken- nungsdienstlichen Erfassung erstellten Aktenstücke, Proben etc. zu löschen bzw. zu vernichten. 5. Formfehler a. Die Beschwerdeführerin machte formelle Mängel im Zusammenhang mit der Durch- führung der Hausdurchsuchung geltend. Zunächst sei ihr durch die Kantonspolizei keine Quittung der konfiszierten Schmuckstücke ausgestellt worden. Die Polizeibeam- ten hätten zwar ein Durchsuchungs- und Untersuchungsprotokoll der Beschlagnahme sowie ein Verzeichnis der beschlagnahmten Gegenstände erstellt, ihr sei davon aber keine Kopie ausgehändigt worden, wodurch das rechtliche Gehör verletzt worden sei. Bis heute sei ihr kein Vollzugsprotokoll zugestellt worden. Im Weiteren rügte die Beschwerdeführerin, dass im Hausdurchsuchungsbefehl nicht einmal summarisch der Sachverhalt begründet worden sei. Dies sei aber eine unab- dingbare Voraussetzung dafür, dass die angeordnete Zwangsmassnahme überprüft werden könne. Ausserdem müsse der Hausdurchsuchungsbefehl unter anderem die Objekte der Beschlagnahme enthalten. Die Informationen über die zu beschlagnah- menden Schmuckstücke seien ihr nur mündlich und unter Vorlage von diversen Fotos mitgeteilt worden. Dieser Formfehler stelle die Gültigkeit des Befehls mehr als in Fra- ge. b. Die Generalstaatsanwaltschaft nahm zu diesem Punkt wie folgt Stellung: Im Zusammenhang mit der Haussuchung und Sicherstellung/Beschlagnahme behaup- tet die Beschwerdeführerin im Weiteren, es seien formelle Fehler begangen worden. Im Einzelnen geht es um folgende Vorwürfe: Über die sichergestellten Schmuckstücke sei keine Quittung ausgestellt worden, die Zustellung eines Vollzugsprotokolls i.S. von Art. 266 Abs. 2 StPO sei bis anhin nicht erfolgt (Beschwerde Art. 3 und 11), der Sach-</w:t>
      </w:r>
    </w:p>
    <w:p>
      <w:r>
        <w:rPr>
          <w:b/>
        </w:rPr>
        <w:t>E. 12</w:t>
      </w:r>
    </w:p>
    <w:p>
      <w:r>
        <w:t>verhalt sei im Hausdurchsuchungsbefehl nicht einmal summarisch begründet worden (Beschwerde Art. 4) und es fehle an einem dem Formerfordernissen genügenden Be- schlagnahmebefehl (Beschwerde Art. 10). Die Vorwürfe sind unberechtigt. Den Akten kann entnommen werden, dass der Beschwerdeführerin ein Exemplar des Durchsu- chungsbefehls ausgehändigt wurde und dass sie das Protokoll der Durchsuchung, die in Anwesenheit ihres Rechtsanwaltes durchgeführt wurde, wie auch das Verzeichnis der sichergestellten Gegenstände unterzeichnete. Auch von behördlicher Seite wurde von allen fünf anwesenden Polizeibeamten vor Ort die Vollständigkeit und Richtigkeit des Durchsuchungsprotokolls und des Verzeichnisses der sichergestellten Ge- genstände unterschriftlich bestätigt. Für das der Polizei später ausgehändigte Goldcol- lier „Adameck“ wurde eine separate Empfangsbestätigung ausgehändigt. Damit ist dem in Art. 266 StPO enthaltenen Erfordernis einer Empfangsbestätigung genügend nachgekommen worden. Sollte noch eine zusätzliche Bestätigung erforderlich er- scheinen, so könnte dies ohne Schaden nachgeholt werden, da die entsprechende Bestimmung offensichtlich nicht eine Gültigkeits-, sondern eine Ordnungsvorschrift darstellt. Was die angeblich mangelnde Begründung des Hausdurchsuchungsbefehls betrifft, so kann festgestellt werden, dass der in den Akten befindliche Befehl die nach Gesetz erforderlichen Angaben (Art. 241 StPO) enthält. Namentlich wird erwähnt, dass die Hausdurchsuchung wegen Verdachts auf Veruntreuung von Schmuckstü- cken erfolgt und sie u.a. die Sicherstellung von Gegenständen und Vermögenswerten zum Zweck hat, die dem Geschädigten zurückzugeben sind. Eine eingehendere Be- gründung ist nicht notwendig (SCHMID, Praxiskommentar, Art. 199 N 2; BSK STPO-J. WEBER, Art. 199 N 5). Schliesslich ist darauf hinzuweisen, dass ein Hausdurchsu- chungsbefehl mit einem Beschlagnahmebefehl gekoppelt werden kann (SCHMID, Pra- xiskommentar, Art. 244 N 7 und Art. 263 N 7). Der Befehl vom 26. Januar 2011 ver- weist ausdrücklich auf Art. 263 Abs. 1 StPO und erwähnt als Begründung den Ver- dacht der Veruntreuung von Schmuckstücken. Damit enthält er die für einen Be- schlagnahmebefehl erforderlichen Elemente. Dass er nicht ausdrücklich auch als Be- schlagnahmebefehl bezeichnet ist, schadet nichts. c. Vorab kann auch in diesem Punkt auf die zutreffenden Erwägungen der General- staatsanwaltschaft verwiesen werden. Art. 199 StPO schreibt vor, dass bei schriftlich anzuordnenden Zwangsmassnahmen der direkt betroffenen Person eine Kopie des Befehls und eines allfälligen Vollzugsprotokolls zu übergeben ist. Art. 266 StPO wie- derum sieht vor, dass die anordnende Behörde der betroffenen Person die Beschlag- nahme mittels Übergabe des Beschlagnahmebefehls oder in einer separaten Quittung bestätigt und ein Verzeichnis der Gegenstände und Vermögenswerte erstellt. Der Hausdurchsuchungsbefehl wurde der Beschwerdeführerin nachweislich übergeben. Auch ein Verzeichnis der beschlagnahmten Gegenstände wurde erstellt und von der Beschwerdeführerin quittiert. Dass sie davon keine Kopie erhalten hat, kann jedoch nicht zu Ungültigkeit der entsprechenden Handlung führen (HUG, in: Kommentar zur Schweizerischen Strafprozessordung, Zürich 2010, Art. 199 N 4; vgl. Art. 141 Abs. 3 StPO). Ausserdem wurde der Beschwerdeführerin am 7. März 2011 volle Aktenein- sicht gewährt. Eine allfällige Verletzung dieser Ordnungsvorschrift wäre ohnehin ge- heilt.</w:t>
      </w:r>
    </w:p>
    <w:p>
      <w:r>
        <w:rPr>
          <w:b/>
        </w:rPr>
        <w:t>E. 13</w:t>
      </w:r>
    </w:p>
    <w:p>
      <w:r>
        <w:t>Gemäss Art. 241 Abs. 1 StPO werden Durchsuchungen in der Form eines schriftli- chen Befehls angeordnet. In der Begründung sind die zu durchsuchenden Räumlich- keiten und der Zweck der Durchsuchung zu bezeichnen und es ist anzugeben, nach welchen Gegenständen, Unterlagen, anderen Beweismitteln, Vermögenswerten oder Personen zu suchen ist. Ferner ist der Tatverdacht zu nennen, wobei in Anbetracht der gedrängten Zeit zur Ausstellung des Befehls eine knappe Begründung genügen muss (KELLER, Kommentar zur Schweizerischen Strafprozessordnung, Zürich 2010, Art. 241 N 25; ARMBRUSTER, a.a.O., S. 416). Gemäss SCHMID genügt es, wenn in ei- nem Befehl darauf hingewiesen wird, dass gegen die betroffene Person ein Strafver- fahren wegen gewerbsmässigen Betrugs eingeleitet wurde und nach einschlägigen Akten zu suchen ist (SCHMID, Praxiskommentar, a.a.O., Art. 199 N 2). Folglich ist auch die Begründung im Hausdurchsuchungsbefehl vom 26. Januar 2011 als ausreichend zu qualifizieren. Darüber hinaus wäre auch dieses Erfordernis blosse Ordnungsvor- schrift und könnte geheilt werden (THORMANN/BRECHBÜHL, in: Basler Kommentar, Schweizerische Strafprozessordnung, Basel 2011, Art. 245 N 15 f.). Die Gültigkeit des Hausdurchsuchungsbefehls würde durch eine mangelhafte Begründung folglich nicht tangiert (Art. 141 Abs. 3 StPO). Im Weiteren ist durch die zuständige Staatsanwaltschaft nur dann ein separater Be- schlagnahmebefehl auszustellen, wenn nicht bereits im Hausdurchsuchungsbefehl die Beschlagnahme bestimmter Sachen oder Vermögenswerte angeordnet wurde (SCHMID, Praxiskommentar, a.a.O., Art. 244 N 7 mit Verweis auf den Begleitbericht zum Vorentwurf für eine Schweizerische Strafprozessordnung, S. 183 unten). Es ist also zulässig, dass in einem Hausdurchsuchungsbefehl auch die Beschlagnahme der von der Polizei sichergestellten Gegenstände verfügt wird (ARMBRUSTER, a.a.O., S. 416). Wie bereits die Generalstaatsanwaltschaft zutreffend ausführte, verweist der Befehl vom 26. Januar 2011 ausdrücklich auf Art. 263 Abs. 1 StPO. Somit erweisen sich auch die formellen Einwände der Beschwerdeführerin allesamt als unbegründet. 6. Nach dem Gesagten ist die Beschwerde teilweise gutzuheissen, soweit auf sie einzu- treten ist. Bei diesem Ausgang des Verfahrens werden die Kosten je hälftig der Be- schwerdeführerin und dem Kanton auferlegt (Art. 428 Abs. 1 StPO). Bei diesem Ver- fahrensausgang ist der teilweise obsiegenden Beschwerdeführerin in Analogie zu Art. 429 StPO i.V.m. Art. 436 Abs. 1 StPO eine angemessene Entschädigung auszu- richten. Analog ist Art. 429 StPO deshalb anzuwenden, weil diese Bestimmung auf das Haupt- und Berufungsverfahren zugeschnitten ist. Der Grundsatz, dass eine (teil- weise) obsiegende beschuldigte Person Anspruch auf eine Entschädigung hat, muss jedoch auch im Beschwerdeverfahren gelten, wobei hier der Staat für die Entschädi- gung aufzukommen hat, wenn sich die Beschwerde gegen Verfügungen oder Verfah- renshandlungen staatlicher Organe richtet.</w:t>
      </w:r>
    </w:p>
    <w:p>
      <w:r>
        <w:rPr>
          <w:b/>
        </w:rPr>
        <w:t>E. 14</w:t>
      </w:r>
    </w:p>
    <w:p>
      <w:r>
        <w:t>Bern, 5. April 2011 Im Namen der Beschwerdekammer in Strafsachen Die Präsidentin: Oberrichterin Schnell i. V. Oberrichter Stucki Die Gerichtsschreiberin: Stebler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