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602 vom 4. August 2025</w:t>
      </w:r>
    </w:p>
    <w:p>
      <w:r>
        <w:t>BE Verwaltungsgericht, 2025-08-04, DE</w:t>
      </w:r>
    </w:p>
    <w:p>
      <w:r>
        <w:rPr>
          <w:b/>
        </w:rPr>
        <w:t xml:space="preserve">Quelle: </w:t>
      </w:r>
      <w:r>
        <w:t>https://mcp.opencaselaw.ch/entscheid/be_verwaltungsgericht_200_2025_602</w:t>
      </w:r>
    </w:p>
    <w:p>
      <w:r>
        <w:t>FR: BE_VERWALTUNGSGERICHT 200 2025 602 du 4 août 2025</w:t>
      </w:r>
    </w:p>
    <w:p>
      <w:r>
        <w:t>IT: BE_VERWALTUNGSGERICHT 200 2025 602 del 4 agosto 2025</w:t>
      </w:r>
    </w:p>
    <w:p>
      <w:pPr>
        <w:pStyle w:val="Heading2"/>
      </w:pPr>
      <w:r>
        <w:t>Regeste</w:t>
      </w:r>
    </w:p>
    <w:p>
      <w:r>
        <w:t>Einspracheentscheid vom 4. August 2025 (Dossier Nr.: 90.23.033988)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August 2025 (act. II 207). Streitig und zu prüfen ist der Anspruch auf eine Inte- gritätsentschädigung im Zusammenhang mit dem Unfall vom 5. September 2023 in Bezug auf die dabei erlittene Verletzung am rechten Zeigefinger.</w:t>
      </w:r>
    </w:p>
    <w:p>
      <w:r>
        <w:rPr>
          <w:b/>
        </w:rPr>
        <w:t>E. 1.3</w:t>
      </w:r>
    </w:p>
    <w:p>
      <w:r>
        <w:t>Der Streitwert liegt mit Fr. 8'892.-- (Beschwerde S. 2 Rechtsbe- gehren Ziff. 1) unter Fr. 20'000.--, womit die Beurteilung der Beschwerde in die einzelrichterliche Zuständigkeit fällt (Art. 57 Abs. 1 GSOG).</w:t>
      </w:r>
    </w:p>
    <w:p>
      <w:r>
        <w:t>Urteil des Verwaltungsgerichts des Kantons Bern vom 8. Dez. 2025, UV 200 2025 602 - 4 -</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2.3 Die Integritätsentschädigung soll den immateriellen Schaden (Schmerzen, Leid sowie Beeinträchtigung des Lebensgenusses) ausglei- chen, der über die Phase der medizinischen Behandlung hinaus andauert und von dem anzunehmen ist, dass er ein Leben lang bestehen bleibt (BGE 133 V 224 E. 5.1 S. 230; SVR 2023 UV Nr. 45 S. 158, 8C_656/2022 E. 3.2). Gemäss Art. 25 Abs. 2 UVG regelt der Bundesrat die Bemessung der Entschädigung. Von dieser Befugnis hat er in Art. 36 der Verordnung vom 20. Dezember 1982 über die Unfallversicherung (UVV; SR 832.202) Gebrauch gemacht. Abs. 1 dieser Vorschrift bestimmt, dass ein Integritäts- schaden als dauernd gilt, wenn er voraussichtlich während des ganzen Lebens mindestens in gleichem Umfang besteht. Er ist erheblich, wenn die körperliche, geistige oder psychische Integrität, unabhängig von der Er-</w:t>
      </w:r>
    </w:p>
    <w:p>
      <w:r>
        <w:t>Urteil des Verwaltungsgerichts des Kantons Bern vom 8. Dez. 2025, UV 200 2025 602 - 5 - werbsfähigkeit, augenfällig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Die medizinische Abteilung der Schweizerischen Unfallversicherungsanstalt (Suva) hat in Weiterentwicklung der bundesrätlichen Skala weitere Bemessungsgrundlagen in tabellarischer Form (sog. Feinraster) erarbeitet. Diese von der Verwaltung herausgegebenen Tabellen stellen zwar keine Rechtssätze dar und sind für das Gericht nicht verbindlich. Soweit sie jedoch lediglich Richtwerte enthalten, mit denen die Gleichstellung aller Versicherten gewährleistet werden soll, sind sie mit dem Anhang 3 zur UVV vereinbar (Urteil des Bun- desgerichts [BGer] 8C_316/2022, 8C_330/2022 vom 31. Januar 2023 E. 6.1.1). 2.4 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150 V 469 E. 3 S. 470, 124 V 29 E. 3c S. 35). Die Integritätsentschä- digung der Unfallversicherung unterscheidet sich von der privatrechtlichen Genugtuung, mit welcher der immaterielle Nachteil individuell unter Würdi- gung der besonderen Umstände bemessen wird. Es lassen sich im Gegen- satz zur Bemessung der Genugtuungssumme im Zivilrecht ähnliche Unfall- folgen miteinander vergleichen und auf medizinischer Grundlage allge- meingültige Regeln zur Bemessung des Integritätsschadens aufstellen; spezielle Behinderungen der betroffenen Personen durch den Integritäts- schaden bleiben dabei unberücksichtigt (BGE 115 V 147 E. 1, 113 V 218 E. 4b S. 221; SVR 2023 UV Nr. 45 S. 158, 8C_656/2022 E. 3.2). Die Be- messung des Integritätsschadens hängt nicht von den besonderen Um- ständen des Einzelfalles ab; auch geht es bei ihr nicht um die Schätzung</w:t>
      </w:r>
    </w:p>
    <w:p>
      <w:r>
        <w:t>Urteil des Verwaltungsgerichts des Kantons Bern vom 8. Dez. 2025, UV 200 2025 602 - 6 - erlittener Unbill, sondern um die medizinisch-theoretische Ermittlung der Beeinträchtigung der körperlichen oder geistigen Integrität, wobei subjekti- ve Faktoren ausser Acht zu lassen sind (BGE 115 V 147 E. 1 S. 147, 113 V 218 E. 4b S. 221; SVR 2023 UV Nr. 45 S. 158, 8C_656/2022 E. 3.2). 2.5 Zur Beurteilung sozialversicherungsrechtlicher Leistungsan- sprüche bedarf es verlässlicher medizinischer Entscheidungsgrundlagen (Urteil des BGer 8C_824/2018 vom 26. März 2019 E. 3.2). 3. 3.1 Es ist unbestritten, dass das Ereignis vom 5. September 2023 (act. II 2) die kumulativen Anspruchsvoraussetzungen des Unfallbegriffs gemäss Legaldefinition (vgl. E. 2.1 hiervor) erfüllt. Die Beschwerdegegnerin hat denn auch entsprechende Versicherungsleistungen erbracht (vgl. act. II 54, 90, 145). Umstritten ist hingegen, ob der Beschwerdeführer aufgrund des Unfalls einen Integritätsschaden erlitt, der zum Anspruch auf eine Integritätsentschädigung berechtigt. Aus den medizinischen Unterla- gen ergibt sich hierzu – soweit entscheidwesentlich – das Folgende: 3.1.1 Im Bericht des Spitals D.________ vom 5. September 2023 (act. II 19) wurde eine Schnittverletzung des rechten Zeigefingers diagnos- tiziert. Der Versicherte berichte, er habe heute bei der Arbeit als ... mit dem Finger in eine ... hinein gefasst. Er habe ihn danach herausgezogen und es habe stark geblutet. Zum Status wurde festgehalten: "Schnittwunde über dem distalen Interphalangealgelenk, Grossteil der Schnittverletzung noch a[n der] Mittelphalanx, nach ulnar bis an die Endphalanx reichend, dort leicht ausgefranste Wundränder. Das Endglied ist nicht druckdolent, Exten- sion und Flexion beides möglich. Durchblutung und Sensibilität erhalten. Nagelbett stabil." Im Röntgenbild zeige sich in der Schrägaufnahme eine Verkalkung im Bereich des distalen Interphalangealgelenks, am ehesten im Rahmen einer früheren Bandverletzung. Eine frische Fraktur sei unwahr- scheinlich. Die Wundversorgung sei mittels vier Einzelknopfnähten erfolgt. Aus dem Bericht derselben Klinik vom 25. September 2023 (act. II 175) geht hervor, dass sich die Wunde am rechten Zeigefinger komplett reizlos</w:t>
      </w:r>
    </w:p>
    <w:p>
      <w:r>
        <w:t>Urteil des Verwaltungsgerichts des Kantons Bern vom 8. Dez. 2025, UV 200 2025 602 - 7 - zeigte. Aufgrund der eingeschränkten Beweglichkeit werde eine Ergothera- pie-Verordnung ausgestellt. Weitere Termine seien nicht vorgesehen. 3.1.2 Im Bericht vom 13. März 2024 (act. II 46) diagnostizierte Dr. med. E.________, Facharzt für Handchirurgie, das Folgende: Rehabilitationsdefizit Dig. II rechts nach Schnittverletzung semizirkulär Höhe DIP-Gelenk vom 5. September 2023 mit - Mallet-Deformität aufgrund einer Strecksehnenverletzung - Verdacht auf Verletzung der beiden palmaren digitalen Nerven - Erstversorgung Spital D.________, Notfall Chirurgie - Wundinfekt postoperativ 14. September 2023, Therapie mit Co- Amoxicillin über eine Woche Es bestehe einerseits eine Mallet-artige Fehlstellung nach Schnittverlet- zung mit wahrscheinlicher Strecksehnenläsion. Andererseits liege eine Hy- po- bis Asensibilität in der Zeigefingerkuppe nach wahrscheinlicher Verlet- zung der Digitalnerven vor. Der Versicherte weise an Dig. IV und V dersel- ben Hand ebenfalls Mallet-artige Deformationen auf, die im Alltag jedoch nicht störten. Mit dem Verlust der Sensibilität am Zeigefinger sowie der Bewegungseinschränkung könne eine permanente geringe Einschränkung persistieren. 3.1.3 Im Bericht des Spitals D.________ vom 9. August 2024 (act. II 98) wurde ausgeführt, der Versicherte habe immer noch brennende Schmerzen und ein Taubheits- bzw. elektrisierendes Gefühl im Endglied Dig. II. Er sei unfähig, die Hand einzusetzen, könne kaum einen Stift und kein Messer halten. Bei vorbestehender Einschränkung auch der linken Körperhälfte nach Schlaganfall liege eine vorbestehende deutliche Limitation im Alltag vor. Es sei keine vollständige Wiedererlangung der Funktion zu erwarten. 3.1.4 Dr. med. E.________ hielt im Bericht vom 6. Dezember 2024 (act. II 119) fest, es bestehe ein persistierendes Extensionsdefizit auf Höhe des DIP-Gelenkes und eine mittlerweile verbesserte PIP- und MCP-Flexion durch selbstständige Mobilisation. Das DIP-Extensionsdefizit rühre von einer Strecksehnenverletzung durch den Unfall her. Zudem bestehe eine taube asensible Fingerkuppe. Es bestünde lediglich die Möglichkeit einer DIP-Arthrodese, trotzdem werde der Finger asensibel bleiben, was die Funktion doch deutlich einschränke. Selbst mit weiteren chirurgisch-</w:t>
      </w:r>
    </w:p>
    <w:p>
      <w:r>
        <w:t>Urteil des Verwaltungsgerichts des Kantons Bern vom 8. Dez. 2025, UV 200 2025 602 - 8 - therapeutischen Massnahmen sei mit keiner vollen Rückkehr der Funktio- nalität zu rechnen. Aktuell sei der Leidensdruck für eine DIP-Arthrodese nicht gegeben. 3.1.5 Im Aktengutachten vom 28. Dezember 2024 (act. II 153) führte die beratende Ärztin Dr. med. F.________, Fachärztin für Orthopädische Chir- urgie und Traumatologie des Bewegungsapparates, aus, der von der Hausärztin angegebene Gebrauchsverlust der rechten Hand und die Anga- be, der Versicherte könne kaum einen Stift oder ein Messer halten, könne nicht nachvollzogen werden. Der Faustschluss und das Zugreifen der Hand werde durch das verbliebene Streckdefizit im rechten Zeigefinger-End- gelenk nicht beeinträchtigt. In einem weiteren Aktengutachten vom 7. Januar 2025 (act. II 161) hielt Dr. med. F.________ fest, eine dauernde, erhebliche Schädigung der körperli- chen Integrität als Folge des Ereignisses vom 5. September 2023 bestehe nicht, da durch das verbliebene aktive Streckdefizit im rechten Zeigefinger- Endgelenk und die palmarseitige Asensibilität in der rechten Zeigefinger- kuppe die Erwerbsfähigkeit nicht beeinträchtigt werde. In der Stellungnahme vom 14. April 2025 (act. II 198) bestätigte die bera- tende Ärztin ihre bisherigen Ausführungen. Das aktive Streckdefizit von 50 Grad im Zeigefinger-Endgelenk und die palmarseitige Asensibilität in der rechten Zeigefingerkuppe könne aus medizinischer Sicht bei erhaltener Gebrauchsfähigkeit und Greiffunktion mit dem rechten Zeigefinger nicht mit einem Verlust des gesamten Zeigefingers gleichgesetzt werden. Selbst wenn dies mit dem Verlust des Zeigefinger-Endgliedes gleichzusetzen wä- re, würde sich nichts an der Beurteilung ändern, dass bei dem Versicherten aufgrund des Ereignisses vom 5. September 2023 keine dauernde, erhebli- che Schädigung der körperlichen Integrität entstanden sei. Entsprechend der Tabelle 3 der Suva (2000) bezüglich Integritätsschäden bei einfachen oder kombinierten Finger-, Hand- und Armverlusten werde der Verlust des rechten Zeigefinger-Endgliedes mit einem Wert von 0 % bewertet. 3.2 Das Prinzip inhaltlich einwandfreier Beweiswürdigung besagt, dass das Sozialversicherungsgericht alle Beweismittel objektiv zu prüfen hat, unabhängig davon, von wem sie stammen, und danach zu entscheiden hat,</w:t>
      </w:r>
    </w:p>
    <w:p>
      <w:r>
        <w:t>Urteil des Verwaltungsgerichts des Kantons Bern vom 8. Dez. 2025, UV 200 2025 602 - 9 -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 3b ee S. 354; SVR 2008 IV Nr. 22 S. 69, 9C_67/2007 E. 2.4).</w:t>
      </w:r>
    </w:p>
    <w:p>
      <w:r>
        <w:t>Urteil des Verwaltungsgerichts des Kantons Bern vom 8. Dez. 2025, UV 200 2025 602 - 10 -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Beratende Ärzte eines Versicherungsträgers sind, was den Beweiswert ihrer ärztlichen Beurteilung angeht, versicherungsinternen Ärzten gleichzu- setzen (Urteil des BGer 8C_434/2023, 8C_436/2023 vom 10. April 2024 E. 4.3, nicht publ. in: BGE 150 V 188, aber in: SVR 2024 UV Nr. 27 S. 107). 3.4 In medizinischer Hinsicht stützte die Beschwerdegegnerin die Ver- neinung eines Anspruchs auf eine Integritätsentschädigung auf die Berichte der beratenden Ärztin Dr. med. F.________ vom 28. Dezember 2024 (act. II 153), 7. Januar 2025 (act. II 161) und 14. April 2025 (act. II 198). Diese erfüllen die Voraussetzungen der Rechtsprechung an medizinische Berichte (vgl. E. 3.3.2 hiervor) und erbringen vollen Beweis. Die Schluss- folgerung von Dr. med. F.________, dass keine erhebliche Schädigung der körperlichen Integrität als Folge des Ereignisses vom 5. September 2023</w:t>
      </w:r>
    </w:p>
    <w:p>
      <w:r>
        <w:t>Urteil des Verwaltungsgerichts des Kantons Bern vom 8. Dez. 2025, UV 200 2025 602 - 11 - besteht, leuchtet ein und ist mit Blick auf die Aktenlage ohne weiteres nachvollziehbar. 3.5 Der Beschwerdeführer macht demgegenüber geltend, das durch den Unfall vom 5. September 2023 verursachte Steckdefizit im rechten Zeigefinger und die palmarseitige Asensibilität beeinträchtige ihn massiv und dauernd, zudem sei die Beeinträchtigung augenfällig. Das Streckdefizit und die Asensibilität seien so einschränkend, dass sie einem Verlust des Zeigefingers gleichkämen (Beschwerde S. 5 lit. c). Diese Betrachtungswei- se findet in den medizinischen Akten keine Stütze. 3.5.1 Soweit sich der Beschwerdeführer diesbezüglich auf die Aussage im Bericht des Spitals D.________ vom 9. August 2024 (act. II 98) stützen sollte, wonach er unfähig sei, die Hand einzusetzen, ist ihm nicht zu folgen. Die entsprechende Aussage ist mit Blick auf die erhobenen Befunde und die Tatsache, dass der Faustschluss und das Zugreifen der Hand durch das verbliebene aktive Streckdefizit im rechten Zeigefinger-Endgelenk nicht beeinträchtigt werden, nicht nachvollziehbar, worauf Dr. med. F.________ zu Recht hingewiesen hat (act. II 153). Hinzu kommt, dass eine Integritäts- entschädigung den immateriellen Schaden ausgleichen soll, der über die Phase der medizinischen Behandlung hinaus andauert und von dem anzu- nehmen ist, dass er ein Leben lang bestehen bleibt (vgl. E. 2.3 hiervor). Zum Zeitpunkt der Beurteilung des Spitals D.________ am 9. August 2024 war die Heilbehandlung noch nicht abgeschlossen. Allenfalls zu jenem Zeitpunkt noch bestehende vorübergehende Einschränkungen sind für die Frage nach dem Anspruch auf eine Integritätsentschädigung nicht mass- gebend. 3.5.2 Bei Abschluss der Behandlung durch Dr. med. E.________ am 3. Dezember 2024 (act. II 119) stellte dieser reizlose Narbenverhältnisse am rechten Zeigefinger mit 70 Grad Beugung und vollständiger Streckung im Grund- und Mittelgelenk sowie 80 Grad Beugung und ein passiv vollständig korrigierbares 50 Grad Streckdefizit im Zeigefinger-Endgelenk, eine palmarseitige Asensibilität in der Zeigefingerkuppe, sowie ein passiv vollständig korrigierbares 40-gradiges Streckdefizit in den Ring- und Klein- finger-Endgelenken (nach einer alten Strecksehnenverletzung) fest. Diese Befunde stellen offensichtlich keine Einschränkung dar, die einem Verlust</w:t>
      </w:r>
    </w:p>
    <w:p>
      <w:r>
        <w:t>Urteil des Verwaltungsgerichts des Kantons Bern vom 8. Dez. 2025, UV 200 2025 602 - 12 - des (gesamten) Zeigefingers gleichkommen würden (Beschwerde S. 5 lit. c). 3.5.3 Selbst wenn die verbleibenden Funktionseinschränkungen eine dem Verlust des Endgliedes des Zeigefingers gleichgestellte völlige Gebrauchsunfähigkeit darstellen würden (vgl. Ziff. 2 Satz 1 Anhang 3 der UVV) – was nach dem Dargelegten nicht der Fall ist –, ergäbe sich daraus kein Anspruch auf eine Integritätsentschädigung. Ein solcher besteht gemäss Anhang 3 der UVV erst ab dem Verlust von mindestens zwei Gliedern eines Langfingers (vgl. dazu auch Tabelle 3 des Feinrasters der Suva: "Integritätsschaden bei einfachen oder kombinierten Finger-, Hand- und Armverlusten", wonach der Verlust des Endglieds des Zeigefingers eine Integritätseinbusse von 0 % darstellt). 3.5.4 Divergierende ärztliche Berichte, die auch nur geringe Zweifel an den überzeugenden Schlussfolgerungen der beratenden Ärztin Dr. med. F.________ zu begründen vermöchten, liegen nicht vor. Auf welche Berich- te von behandelnden Ärzten sich der Beschwerdeführer bezieht, welche das Gegenteil behaupten würden (vgl. Beschwerde S. 5 lit. d), bleibt unklar. Der medizinische Sachverhalt ist rechtsgenüglich abgeklärt, weshalb für weitere Abklärungen, insbesondere einer versicherungsexternen Begutach- tung (vgl. Beschwerde S. 5 lit. d), kein Anlass besteht (antizipierte Beweis- würdigung; BGE 144 V 361 E. 6.5 S. 368, 124 V 90 E. 4b S. 94, 122 V 157 E. 1d S. 162; in BGE 151 III 28 nicht publ. E. 5.2 des Urteils des BGer 9C_298/2024 vom 14. August 2024; SVR 2019 IV Nr. 50 S. 162, 9C_296/2018 E. 4). 4. Nach dem Dargelegten verneinte die Beschwerdegegnerin den Anspruch auf eine Integritätsentschädigung im Zusammenhang mit dem Unfall vom 5. September 2023 in Bezug auf die dabei erlittene Verletzung am rechten Zeigefinger zu Recht. Damit ist der angefochtene Einspracheentscheid vom 4. August 2025 (act. II 207) nicht zu beanstanden und die dagegen erho- bene Beschwerde ist abzuweisen.</w:t>
      </w:r>
    </w:p>
    <w:p>
      <w:r>
        <w:t>Urteil des Verwaltungsgerichts des Kantons Bern vom 8. Dez. 2025, UV 200 2025 602 - 13 - 5. Die Beilage act. II 192 betrifft eine andere Person; die Beschwerdegegnerin wird das entsprechende Dokument aus den Akten zu entfernen haben. 6.</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Ausgang des Verfahrens hat der unterliegende Be- schwerdeführer keinen Anspruch auf eine Parteientschädigung (Umkehr- schluss aus Art. 1 Abs. 1 UVG i.V.m. Art. 61 lit. g ATSG). Demnach entscheidet die Einzelrichterin: 1. Die Beschwerde wird abgewiesen. 2. Es werden weder Verfahrenskosten erhoben noch wird eine Parteien- tschädigung zugesprochen. 3. Zu eröffnen (R): - Rechtsanwalt B.________ z.H. des Beschwerdeführers - Schweizerische Mobiliar Versicherungsgesellschaft AG, Direktion Bern - Bundesamt für Gesundheit Die Einzelrichterin: Der Gerichtsschreiber:</w:t>
      </w:r>
    </w:p>
    <w:p>
      <w:r>
        <w:t>Urteil des Verwaltungsgerichts des Kantons Bern vom 8. Dez. 2025, UV 200 2025 602 - 14 -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