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352 vom 8. September 2025</w:t>
      </w:r>
    </w:p>
    <w:p>
      <w:r>
        <w:t>BE Verwaltungsgericht, 2025-09-08, DE</w:t>
      </w:r>
    </w:p>
    <w:p>
      <w:r>
        <w:rPr>
          <w:b/>
        </w:rPr>
        <w:t xml:space="preserve">Quelle: </w:t>
      </w:r>
      <w:r>
        <w:t>https://mcp.opencaselaw.ch/entscheid/be_verwaltungsgericht_200_2025_352</w:t>
      </w:r>
    </w:p>
    <w:p>
      <w:r>
        <w:t>FR: BE_VERWALTUNGSGERICHT 200 2025 352 du 8 septembre 2025</w:t>
      </w:r>
    </w:p>
    <w:p>
      <w:r>
        <w:t>IT: BE_VERWALTUNGSGERICHT 200 2025 352 del 8 settembre 2025</w:t>
      </w:r>
    </w:p>
    <w:p>
      <w:pPr>
        <w:pStyle w:val="Heading2"/>
      </w:pPr>
      <w:r>
        <w:t>Regeste</w:t>
      </w:r>
    </w:p>
    <w:p>
      <w:r>
        <w:t>Verfügung vom 2. Mai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 Mai 2025 (act. II 173). Streitig und zu prüfen ist der Anspruch auf Hilfsmittel in Form einer Zweitversorgung mit Unterschenkelprothesen beidseits.</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sinngemäss eine Verletzung des rechtlichen Gehörs dahingehend geltend, dass in der angefochtenen Verfügung nicht auf die im Einwandverfahren vorgebrach- ten Argumente eingegangen sei (Begründungspflicht) und ihm die Stel- lungnahme der B.________ vom 27. März 2025 (act. II 162/2 f.) vor Verfü- gungserlass nicht zugestellt worden sei (Akteneinsicht). 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w:t>
      </w:r>
    </w:p>
    <w:p>
      <w:r>
        <w:t>Urteil des Verwaltungsgerichts des Kantons Bern vom 8. Sept. 2025, IV 200 2025 352 - 5 - (BGE 143 V 71 E. 4.1 S. 72; SVR 2024 BVG Nr. 23 S. 79, 9C_437/2023 E. 5.2). 2.3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139, 9C_555/2020 E. 4.4.1, 2020 IV Nr. 57 S. 193, 8C_25/2020 E. 3.3.1).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2021 IV Nr. 43 S. 139, 9C_555/2020 E. 4.4.1, 2020 IV Nr. 57 S. 193, 8C_25/2020 E. 3.3.1). 2.4 Die Rüge der Verletzung des rechtlichen Gehörs ist begründet. Die Beschwerdegegnerin anerkennt dies in der Beschwerdeantwort denn auch und stellt fest, dass sie sich in der angefochtenen Verfügung nicht zu den im Vorbescheidverfahren vorgetragenen Einwänden des Beschwerdefüh- rers geäussert und der Verfügung die Stellungnahme der B.________ vom 27. März 2025 (act. II 162/2 f.) nicht beigelegt habe (Beschwerdeantwort S. 2 lit. C. Ziff. 6 f.). 2.5 Mit prozessleitender Verfügung vom 2. Juli 2025 wurde dem Be- schwerdeführer die Beschwerdeantwort sowie die Stellungnahme der B.________ vom 27. März 2025 (act. II 162/2 f.), welche sich auch mit den Einwänden des Beschwerdeführers (act. II 150) auseinandersetzt, zuge- stellt. Er wurde auf die Möglichkeit hingewiesen, sich im Rahmen einer Re- plik zur Beschwerdeantwort und zur Stellungnahme der B.________ zu äussern. Von dieser Möglichkeit machte der Beschwerdeführer in der Folge</w:t>
      </w:r>
    </w:p>
    <w:p>
      <w:r>
        <w:t>Urteil des Verwaltungsgerichts des Kantons Bern vom 8. Sept. 2025, IV 200 2025 352 - 6 - keinen Gebrauch. Bei dieser Ausgangslage ist – selbst, wenn die Gehörs- verletzung durch die Beschwerdegegnerin als schwerwiegend zu taxieren wäre – im Sinne einer Heilung des Mangels von einer Rückweisung der Sache an die Beschwerdegegnerin abzusehen (vgl. E. 2.3 hiervor). 3. 3.1 Gemäss Art. 8 Abs. 1 IVG haben invalide oder von einer Invalidität (Art. 8 ATSG) bedrohte Versicherte Anspruch auf Eingliederungsmass- nahmen, soweit diese notwendig und geeignet sind, die Erwerbsfähigkeit oder die Fähigkeit, sich im Aufgabenbereich zu betätigen, wiederherzustel-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 gung der Massnahmen sind insbesondere das Alter (lit. a), der Entwick- lungsstand (lit. b), die Fähigkeiten der versicherten Person (lit. c) und die zu erwartende Dauer des Erwerbslebens (lit. d) zu berücksichtigen (Art. 8 Abs. 1bis IVG). 3.2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 desrat aufzustellenden Liste ohne Rücksicht auf die Erwerbsfähigkeit An- spruch auf solche Hilfsmittel haben. Ziel ist es, die Autonomie der invaliden Person zu fördern, indem sie aufgrund dieser Hilfsmittel die alltäglichen Lebensverrichtungen wie Körperpflege etc. selbstständig vornehmen und sich am gesellschaftlichen Leben beteiligen kann, etwa in Form des Zu- gangs zur Um- und Aussenwelt, der Ausübung einer medizinisch angezeig-</w:t>
      </w:r>
    </w:p>
    <w:p>
      <w:r>
        <w:t>Urteil des Verwaltungsgerichts des Kantons Bern vom 8. Sept. 2025, IV 200 2025 352 - 7 - ten und somit schützenswerten sportlichen Betätigung oder der Benützung von speziellen Kommunikationsgeräten (Urteil des Bundesgerichts [BGer] 8C_262/2010 vom 12. Januar 2011 E. 2.1). Aus Art. 21 Abs. 2 IVG fliesst jedoch kein Rechtsanspruch darauf, dass Behinderte so selbstständig wie eine nichtbehinderte Person leben können (SVR 2017 IV Nr. 61 S. 189, 9C_573/2016 E. 6.4). 3.3 Die Befugnis zur Aufstellung der Hilfsmittelliste und zum Erlass ergänzender Vorschriften im Sinne von Art. 21 Abs. 2 und 4 IVG hat der Bundesrat in Art. 14 der Verordnung vom 17. Januar 1961 über die Invali- denversicherung (IVV; SR 831.201) an das Eidg. Departement des Innern (EDI) übertragen, welches die Verordnung vom 29. November 1976 des EDI über die Abgabe von Hilfsmitteln durch die Invalidenversicherung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Eine rechtlich erhebliche Er- werbstätigkeit i.S.v. Art. 2 Abs. 2 HVI ist anzunehmen, wenn die versicherte Person ohne Anrechnung allfälliger Renten aus ihrer Tätigkeit ein jährliches Einkommen erzielt, das dem Mindestbeitrag für Nichterwerbstätige gemäss Art. 10 Abs. 1 AHVG entspricht oder höher ist (SVR 2017 IV Nr. 61 S. 189, 9C_573/2016 E. 4.1). 3.4 Als Eingliederungsmassnahme unterliegt jede Hilfsmittelversor- gung den allgemeinen Anspruchsvoraussetzungen des Art. 8 Abs. 1 IVG. Sie hat somit neben den dort ausdrücklich genannten Erfordernissen der Geeignetheit und Notwendigkeit auch denjenigen der Angemessenheit (Verhältnismässigkeit im engeren Sinne) als drittem Teilgehalt des Verhält- nismässigkeitsgrundsatzes zu genügen. Die Abgabe eines Hilfsmittels muss demnach unter Berücksichtigung der gesamten tatsächlichen und rechtlichen Umstände des Einzelfalles in einem angemessenen Verhältnis</w:t>
      </w:r>
    </w:p>
    <w:p>
      <w:r>
        <w:t>Urteil des Verwaltungsgerichts des Kantons Bern vom 8. Sept. 2025, IV 200 2025 352 - 8 - zum angestrebten Eingliederungsziel stehen. Dabei lassen sich vier Teilas- pekte unterscheiden, nämlich die sachliche, die zeitliche, die finanzielle und die persönliche Angemessenheit. Danach muss die Massnahme prognos- tisch ein bestimmtes Mass an Eingliederungswirksamkeit aufweisen; so- dann muss gewährleistet sein, dass der angestrebte Eingliederungserfolg voraussichtlich von einer gewissen Dauer ist; des Weiteren muss der zu erwartende Erfolg in einem vernünftigen Verhältnis zu den Kosten der kon- kreten Eingliederungsmassnahme stehen; schliesslich muss die konkrete Massnahme dem Betroffenen auch zumutbar sein (BGE 143 V 190 E. 2.2 S. 192). 3.5 Das Erfordernis der finanziellen Angemessenheit wird im Hilfsmit- telrecht durch Art. 21 Abs. 3 IVG und Art. 2 Abs. 4 HVI zum Ausdruck ge- bracht, wonach nur Anspruch auf Hilfsmittel in einfacher und zweckmässi- ger Ausführung besteht; durch eine andere Ausführung verursachte zusätz- liche Kosten hat der Versicherte selbst zu tragen. Die versicherte Person hat demnach in der Regel nur Anspruch auf die dem jeweiligen Eingliede- rungszweck angemessenen, notwendigen Massnahmen, nicht aber auf die nach den gegebenen Umständen bestmöglichen Vorkehren (vgl. Art. 8 Abs. 1 IVG). Denn das Gesetz will die Eingliederung soweit sicherstellen, als diese im Einzelfall notwendig, aber auch genügend ist. Sodann muss die einfache und zweckmässige Hilfsmittelversorgung zeitgemäss sein (BGE 143 V 190 E. 2.3 S. 193 und E. 7.3.2 S. 198). 4. 4.1 Aus den Akten ergibt sich, dass die Beschwerdegegnerin den beidseits unterschenkelamputierten Beschwerdeführer (vgl. act. II 32/22 ff.) nebst einer beidseitigen Versorgung mit Unterschenkelprothesen (act. II 54) u.a. mit einem Handrollstuhl (act. II 44) samt Elektrohilfsantrieb (act. II 36) sowie mit einem Zweitrollstuhl am Arbeitsplatz (act. II 102) ver- sorgte. Zudem finanzierte sie den barrierefreien Umbau der Wohnung (act. II 142), die Anpassung des Arbeitsplatzes (act. II 72) und die behinde- rungsbedingte Abänderung des Motorfahrzeuges (act. II 79) des Be- schwerdeführers. Das Gesuch vom April 2024 (act. II 80) um Zweitversor-</w:t>
      </w:r>
    </w:p>
    <w:p>
      <w:r>
        <w:t>Urteil des Verwaltungsgerichts des Kantons Bern vom 8. Sept. 2025, IV 200 2025 352 - 9 - gung mit Unterschenkelprothesen wurde im Wesentlichen damit begründet, dass die Versorgung mit dem wasserfesten Funktionspassteil Pro-Flex® XC (vgl. &lt;www.ossur.com&gt;, unter: Prothetik/Produkte/Fuss) es dem Be- schwerdeführer ermöglichen würde, unabhängig auf zwei Beinen unter die Dusche zu gehen. Da er mit seiner Familie regelmässig das Meer besuche, sollte die Versorgung Salzwasser ertragen können und ihm auch am Strand genug Mobilität geben (act. II 80/3). 4.2 In der Stellungnahme vom 15. November 2024 (act. II 125) führte die B.________ dazu aus, die anbegehrte Versorgung mit dem Funktions- passteil Pro-Flex® XC entspreche der ursprünglich offerierten (act. II 3), durch die B.________ abgeklärten (act. II 51), in der Rehabilitation zufrie- denstellend genutzten und von der Beschwerdegegnerin auch zugespro- chenen (act. II 54 f.) Versorgung. Wieso davon abweichend schliesslich eine Versorgung mit dem Funktionspassteil Pro-Flex® Pivot (vgl. &lt;www.ossur.ch&gt;, a.a.O.) erfolgt sei, lasse sich nicht nachvollziehen. In An- betracht der Aspekte, dass zu Hause ein Rollstuhl mit elektrischem Zug- gerät, sowie auf der Arbeit ebenfalls ein Rollstuhl zur Verfügung stehe, das häusliche Umfeld auf die Situation des Beschwerdeführers angepasst wor- den sei, die zuerst offerierte Versorgung in wasserfester Ausführung emp- fohlen, verfügt und umgesetzt hätte werden können/sollen, sowie eine Zweitversorgung in einfacher Ausführung erstellt werden müsse, könne die offerierte Versorgung nicht zur Übernahme empfohlen werden. 4.3 Zu den im Rahmen des Vorbescheidverfahrens vorgebrachten Argumenten (vgl. act. II 150, 157/3) nahm die B.________ am 27. März 2025 (act. II 162/2 ff.) Stellung. Sie führte aus, die Begründung des Be- schwerdeführers bezüglich der Auswahl der Funktionspassteile während der Rehabilitation, es sei weniger um das Gehen, gegangen, sondern viel- mehr darum, sich an prothetische Versorgung zu gewöhnen, gut stehen zu können, sich sicher zu fühlen, und leichter laufen zu lernen, sei nicht nach- vollziehbar. Zum Zeitpunkt der Abklärung am 26. Januar 2024 sei ein "C- förmiger"-Prothesenfuss in der Probeversorgung eingebaut gewesen. So- mit habe der Beschwerdeführer seine ersten Schritte mit dem nun erneut offerierten Prothesenfuss erlernt. Beim damaligen Termin seien keine Pro- bleme mit dem verwendeten Fuss angegeben worden. Soweit es darum</w:t>
      </w:r>
    </w:p>
    <w:p>
      <w:r>
        <w:t>Urteil des Verwaltungsgerichts des Kantons Bern vom 8. Sept. 2025, IV 200 2025 352 - 10 - gehe, Druckstellen zu vermeiden und den Stumpf zu entlasten, sei der neu offerierte Prothesenfuss erfahrungsgemäss der ungeeignetere Fuss. Durch die hohe Steifigkeit entstünden höhere Kräfte, die auf den Schaft und somit auf den Stumpf wirkten, was zu einer höheren Belastung des Stumpfes führe. Da dem Beschwerdeführer am Arbeitsplatz und zu Hause je ein Rollstuhl (inklusive Zuggerät) zur Verfügung stünden und er eine zu 70 % sitzende bzw. zu 30 % stehend und gehende Tätigkeit ausführe, sei eine Zweitversorgung nicht notwendig. Während der gesamten Versorgungszeit seien keine technischen Defekte bekannt, die den Beschwerdeführer ge- zwungen hätten, den Rollstuhl deshalb zu verwenden. Was allfällige Pass- formprobleme betreffe, würde eine Zweitversorgung nichts nützen, da diese in der Regel durch Stumpfveränderungen entstünden und dadurch beide Prothesen nicht passformgerecht wären. 4.4 Gemäss Rz. 2001 des vom Bundesamt für Sozialversicherungen herausgegebenen Kreisschreibens über die Abgabe von Hilfsmitteln durch die Invalidenversicherung (KHMI) besteht der Anspruch für eine Prothese. Die Notwendigkeit einer Zweitversorgung ist eingehend durch die IV-Stelle zu überprüfen und wird nur in einfacher Ausführung erstellt. Die Beschwer- degegnerin beauftragte die B.________ mit der Anspruchsprüfung. Ge- stützt auf deren Stellungnahmen vom 15. November 2024 (act. II 125) und vom 27. März 2025 (act. II 162/2 ff.) verneinte sie den Anspruch auf eine Zweitversorgung mit Unterschenkelprothesen beidseits mit der hier ange- fochtenen Verfügung vom 2. Mai 2025 (act. II 173). Die in den genannten Stellungnahmen dargelegte Argumentation, weshalb kein Anspruch auf eine Zweitversorgung bestehe, überzeugt in allen Teilen. 4.4.1 Wie von der B.________ korrekt dargelegt, wurde die vom Be- schwerdeführer gewünschte Prothesenversorgung mit dem wasserfesten Funktionspassteil Pro-Flex® XC ursprünglich in der Klinik D.________ als Probe-Prothese (act. II 52 f.) getragen und von der B.________ zur Kos- tenübernahme empfohlen (act. II 51). Die aktuell vom Beschwerdeführer benutzten Unterschenkelprothesen sind demgegenüber mit dem Funkti- onspassteil Pro-Flex® Pivot ausgestattet (act. II 125/3). Der Beschwerde- führer wählte somit – wohl im Rahmen der Austauschbefugnis (vgl. Art. 21bis Abs. 1 IVG) – die Versorgung mit einem Modell mit anderen Eigen-</w:t>
      </w:r>
    </w:p>
    <w:p>
      <w:r>
        <w:t>Urteil des Verwaltungsgerichts des Kantons Bern vom 8. Sept. 2025, IV 200 2025 352 - 11 - schaften. Er bringt diesbezüglich vor, das gewählte Modell habe seiner damaligen körperlichen Verfassung besser entsprochen. In der Zwischen- zeit habe sich diese verbessert und er verfüge über mehr Kraft. Dadurch sei er in der Lage, das Funktionspassteil Pro-Flex® XC effektiv einzusetzen und im Alltag zu nutzen (Beschwerde S. 2). Damit vermag der Beschwer- deführer nichts zu seinen Gunsten abzuleiten. Es mag zutreffen, dass das Funktionspassteil Pro-Flex® XC im Vergleich zur Erstversorgung mehr Dy- namik bietet (vgl. act. II 157/3); dass die jetzige Versorgung ihren Zweck nicht mehr erfüllen würde und deshalb ausgewechselt werden müsste, ist jedoch nicht ersichtlich und wird denn auch nicht geltend gemacht. Insofern ist die – erhöhten Anforderungen unterliegende (vgl. E. 4.4 hiervor) – Ver- sorgung mit einem zweiten Paar Prothesen nicht notwendig. Des Weiteren stellt das Schwimmen und Baden keine alltägliche Fortbewegung dar, eine Zweitversorgung mit (wasserfesten bzw. meerwasserresistenten [vgl. act. II 80/1, 80/3]) Prothesen kann vor diesem Hintergrund nicht als einfach und wirtschaftlich qualifiziert werden. Soweit die wasserfesten Prothesen der einfacheren Körperhygiene (Duschen mit Prothese [vgl. act. II 80/5]) die- nen, bezwecken sie nicht die Fortbewegung, sondern dienen der Selbst- sorge; die Aufzählung der für die Selbstsorge aufgeführten Hilfsmittelkate- gorien ist jedoch abschliessen und enthält keine Prothesen (SVR 2017 IV Nr. 61 S. 189, 9C_573/2016 E. 6.3.2). 4.4.2 Die Notwendigkeit einer Zweitversorgung mit Prothesen kann auch nicht mit Reparatur- und Servicearbeiten begründet werden, ansonsten jeder Betroffene Anspruch auf eine Zweitversorgung hätte. Die unmittelbare Verfügbarkeit einer Zweitprothese erleichtert die Mobilität sicherlich, wenn eine unvorhergesehene Störung auftritt, indem u.a. der Aufwand für die Organisation der Reparatur verringert wird. Eine zwingende Notwendigkeit einer Zweitversorgung lässt sich damit allerdings nicht begründen, zumal kein Anspruch auf die nach den gegebenen Umständen bestmögliche Ver- sorgung, sondern nur auf die dem jeweiligen Eingliederungszweck ange- messene und notwendige Massnahme besteht. Diesbezüglich ist denn auch zu beachten, dass der Beschwerdeführer am Arbeitsplatz und zu Hause je ein Rollstuhl (inklusive Zuggerät) zur Verfügung stehen und er eine zu 70 % sitzende bzw. zu 30 % stehend und gehende Tätigkeit aus- führt. Unter diesen Umständen ist eine Zweitversorgung – wie die</w:t>
      </w:r>
    </w:p>
    <w:p>
      <w:r>
        <w:t>Urteil des Verwaltungsgerichts des Kantons Bern vom 8. Sept. 2025, IV 200 2025 352 - 12 - B.________ überzeugend dargelegt hat (act. II 162/3) – nicht notwendig. Darüber hinaus ist auch nicht ersichtlich, inwieweit die nicht geringen Kos- ten einer Zweitversorgung mit einer Prothese (vgl. act. II 157/4, /8) in einem angemessenen Verhältnis zum Eingliederungszweck stehen sollten, der mit der bisherigen Versorgung bereits erfüllt ist (vgl. dazu E. 3.5 hiervor). 4.4.3 Am Ganzen ändert schliesslich nichts, dass der Hausarzt des Be- schwerdeführers, Dr. med. C.________, Facharzt für Allgemeine Innere Medizin (vgl. act. II 80/5), und die Lieferantin der Prothesen (vgl. act. II 157/1, /6) eine Zweitversorgung unterstützen. Bei allem Ver- ständnis für die schwierige Situation des Beschwerdeführers und seinem Wunsch, bestmöglich ein selbstbestimmtes und unabhängiges Leben zu führen, besteht aus rechtlicher Optik keine Grundlage, um ihm eine Zweit- versorgung mit Unterschenkelprothesen zuzusprechen. Denn allemal hat die versicherte Person nur Anspruch auf die dem jeweiligen Eingliede- rungszweck angemessenen und notwendigen, nicht aber auf die nach den gegebenen Umständen bestmöglichen Vorkehren (vgl. E. 3.5 hiervor). 4.5 Nach dem Dargelegten ist die angefochtene Verfügung vom 2. Mai 2025 (act. II 173) nicht zu beanstanden. Die dagegen erhobene Beschwer- de ist offensichtlich unbegründet und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Die Verletzung des rechtlichen Gehörs durch die Be- schwerdegegnerin (vgl. E. 2.4 hiervor) rechtfertigt hier keine vom Unterlie- gerprinzip abweichende Kostenverlegung. Der Beschwerdeführer musste</w:t>
      </w:r>
    </w:p>
    <w:p>
      <w:r>
        <w:t>Urteil des Verwaltungsgerichts des Kantons Bern vom 8. Sept. 2025, IV 200 2025 352 - 13 - die Beschwerde nicht einlegen, um überhaupt Kenntnis von der Stellung- nahme der B.________ vom 27. März 2025 (act. II 162/2 f.) erhalten zu können, hätte er dies doch auch mittels Akteneinsichtsgesuch nach Eröff- nung der Verfügung vom 2. Mai 2025 (act. II 173) erreichen können. Hinzu kommt, dass er sich im Beschwerdeverfahren zur Stellungnahme der B.________ (vgl. prozessleitende Verfügung vom 2. Juli 2025) nicht hat vernehmen lassen. 5.2 Bei diesem Verfahrensausgang besteht kein Anspruch auf eine Parteientschädigung (Umkehrschluss aus Art. 1 Abs. 1 IVG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8. Sept. 2025, IV 200 2025 352 - 4 -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