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229 vom 3. Juni 2025</w:t>
      </w:r>
    </w:p>
    <w:p>
      <w:r>
        <w:t>BE Verwaltungsgericht, 2025-06-03, DE</w:t>
      </w:r>
    </w:p>
    <w:p>
      <w:r>
        <w:rPr>
          <w:b/>
        </w:rPr>
        <w:t xml:space="preserve">Quelle: </w:t>
      </w:r>
      <w:r>
        <w:t>https://mcp.opencaselaw.ch/entscheid/be_verwaltungsgericht_200_2025_229</w:t>
      </w:r>
    </w:p>
    <w:p>
      <w:r>
        <w:t>FR: BE_VERWALTUNGSGERICHT 200 2025 229 du 3 juin 2025</w:t>
      </w:r>
    </w:p>
    <w:p>
      <w:r>
        <w:t>IT: BE_VERWALTUNGSGERICHT 200 2025 229 del 3 giugno 2025</w:t>
      </w:r>
    </w:p>
    <w:p>
      <w:pPr>
        <w:pStyle w:val="Heading2"/>
      </w:pPr>
      <w:r>
        <w:t>Regeste</w:t>
      </w:r>
    </w:p>
    <w:p>
      <w:r>
        <w:t>Einspracheentscheid vom 7. März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7. März 2025 (act. II 16). Streitig und zu prüfen ist der Anspruch des Beschwerdeführers auf Ergänzungsleistungen ab dem 1. Oktober 2021 und dabei insbesondere, ob er die zusätzlichen Anspruchsvoraussetzungen für Ausländerinnen und Ausländer gemäss Art. 5 des Bundesgesetzes vom 6. Oktober 2006 über Ergänzungsleistungen zur Alters-, Hinterlassenen- und Invalidenversiche- rung (ELG; SR 831.30) erfüllt.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3. Juni 2025, EL 200 2025 229 -4- 2. 2.1 Am 1. Januar 2021 sind die Änderung vom 22. März 2019 des ELG und die Änderung vom 29. Januar 2020 der Verordnung vom 15. Januar 1971 über die Ergänzungsleistungen zur Alters-, Hinterlassenen- und Inva- lidenversicherung (ELV; SR 831.301) in Kraft getreten. Vorbehältlich be- sonderer übergangsrechtlicher Regelungen sind in zeitlicher Hinsicht grundsätzlich diejenigen Rechtssätze massgeblich, die bei der Erfüllung des rechtlich zu ordnenden oder zu Rechtsfolgen führenden Tatbestandes Geltung haben (BGE 150 V 323 E. 4.2 S. 328, 150 V 89 E. 3.2.1 S. 95, 148 V 162 E. 3.2.1 S. 166, 144 V 210 E. 4.3.1 S. 213). Die Anmeldung zum Leistungsbezug erfolgte im Juli 2024 (act. II 1) und umstritten ist der An- spruch auf Ergänzungsleistungen ab dem 1. Oktober 2021 (vgl. Art. 22 Abs. 1 ELV i.V.m. act. II 9). Dabei ist insbesondere zu klären, ob der Be- schwerdeführer die zusätzlichen Anspruchsvoraussetzungen für Auslände- rinnen und Ausländer gemäss Art. 5 ELG erfüllt (vgl. E. 2.3 hiernach). Vorliegend stehen Auslandaufenthalte zur Diskussion, die in den Jahren 2020 bis 2023 stattgefunden haben (vgl. act. II 10/1, 15/4). Gemäss Rz. 1203 des Kreisschreibens des Bundesamtes für Sozialversi- cherungen (BSV) zum Übergangsrecht der EL-Reform (KS-R EL; zur Be- deutung von Verwaltungsweisungen vgl. BGE 150 V 1 E. 6.4.2 S. 6, 148 V 385 E. 5.2 S. 391, 147 V 79 E. 7.3.2 S. 82, 146 V 224 E. 4.4.2 S. 228, 132 V 121 E. 4.4 S. 125) findet für die Prüfung, ob ein Auslandaufenthalt zu einem Unterbruch des gewöhnlichen Aufenthaltes in der Schweiz oder der Karenzfrist geführt hat, auf alle Auslandaufenthalte, die eine Person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