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224 vom 3. März 2025</w:t>
      </w:r>
    </w:p>
    <w:p>
      <w:r>
        <w:t>BE Verwaltungsgericht, 2025-03-03, DE</w:t>
      </w:r>
    </w:p>
    <w:p>
      <w:r>
        <w:rPr>
          <w:b/>
        </w:rPr>
        <w:t xml:space="preserve">Quelle: </w:t>
      </w:r>
      <w:r>
        <w:t>https://mcp.opencaselaw.ch/entscheid/be_verwaltungsgericht_200_2025_224</w:t>
      </w:r>
    </w:p>
    <w:p>
      <w:r>
        <w:t>FR: BE_VERWALTUNGSGERICHT 200 2025 224 du 3 mars 2025</w:t>
      </w:r>
    </w:p>
    <w:p>
      <w:r>
        <w:t>IT: BE_VERWALTUNGSGERICHT 200 2025 224 del 3 marzo 2025</w:t>
      </w:r>
    </w:p>
    <w:p>
      <w:pPr>
        <w:pStyle w:val="Heading2"/>
      </w:pPr>
      <w:r>
        <w:t>Regeste</w:t>
      </w:r>
    </w:p>
    <w:p>
      <w:r>
        <w:t>Verfügung vom 3. März 2025</w:t>
      </w:r>
    </w:p>
    <w:p>
      <w:pPr>
        <w:pStyle w:val="Heading2"/>
      </w:pPr>
      <w:r>
        <w:t>Erwägungen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 1.2 Anfechtungsobjekt bildet die Nichteintretensverfügung vom 3. März 2025 (act. II 75). Streitig und zu prüfen ist, ob die Beschwerdegeg- nerin auf die Neuanmeldung vom Oktober 2024 (act. II 57) zu Recht nicht eingetreten ist. 1.3 Die Mitglieder des Verwaltungsgerichts behandeln als Einzelrichte- rin oder Einzelrichter Beschwerden gegen Nichteintretensverfügungen oder -entscheide (Art. 57 Abs. 2 lit. c GSOG). 1.4 Das Gericht überprüft den angefochtenen Entscheid frei und ist an die Begehren der Parteien nicht gebunden (Art. 61 lit. c und d ATSG; Art. 80 lit. c Ziff. 1 und Art. 84 Abs. 3 VRPG).</w:t>
      </w:r>
    </w:p>
    <w:p>
      <w:r>
        <w:t>Urteil des Verwaltungsgerichts des Kantons Bern vom 16. Mai 2025, IV 200 2025 224 -5- 2. 2.1 2.1.1 Wurde eine Rente wegen eines zu geringen Invaliditätsgrades bereits einmal verweigert, so wird eine neue Anmeldung nur geprüft, wenn die versicherte Person darin glaubhaft macht, dass sich der Grad der Inva- lidität in einer für den Anspruch erheblichen Weise geändert hat (vgl. Art. 87 Abs. 2 und 3 der Verordnung vom 17. Januar 1961 über die Invali- denversicherung [IVV; SR 831.201]). Dies gilt analog, wenn die versicherte Person nach vorausgegangener rechtskräftiger Ablehnung erneut eine Ein- gliederungsmassnahme beantragt. Erheblich ist eine Sachverhaltsände- rung, wenn angenommen werden kann, der Leistungsanspruch sei begründet, falls sich die geltend gemachten Umstände als richtig erweisen sollten (vgl. BGE 149 V 177 E. 4.7 S. 184). 2.1.2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(BGE 130 V 64 E. 5.2.5 S. 69). Mit dem Beweismass des Glaubhaftmachens sind herabgesetzte Anforderungen an den Beweis verbunden; der Sachverhalt muss also nicht nach dem im So- zialversicherungsrecht sonst üblichen Grad der überwiegenden Wahr- scheinlichkeit erstellt sein. Es genügt, dass für den geltend gemachten rechtserheblichen Sachumstand wenigstens gewisse Anhaltspunkte beste- hen, auch wenn durchaus noch mit der Möglichkeit zu rechnen ist, bei ein- gehender Abklärung werde sich die behauptete Sachverhaltsdarstellung nicht erstellen lassen (BGE 149 V 177 E. 4.7 S. 183; SVR 2022 IV Nr. 35 S. 114, 9C_556/2021 E. 2.2, 2014 IV Nr. 33 S. 121, 8C_746/2013 E. 2). 2.2 Nach Eingang einer Neuanmeldung oder eines Revisionsgesuchs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w:t>
      </w:r>
    </w:p>
    <w:p>
      <w:r>
        <w:t>Urteil des Verwaltungsgerichts des Kantons Bern vom 16. Mai 2025, IV 200 2025 224 -6- Glaubhaftmachung höhere oder weniger hohe Anforderungen stellen. Inso- fern steht ihr ein gewisser Beurteilungsspielraum zu, den der Richter grundsätzlich zu respektieren hat. Die Behandlung der Eintretensfrage durch die Verwaltung ist deshalb vom Gericht nur zu überprüfen, wenn das Eintreten streitig ist (BGE 109 V 108 E. 2b S. 114). 2.3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3. 3.1 Die letzte umfassende Prüfung des Leistungsanspruchs erfolgte mit Verfügung vom 30. September 2019, mit welcher ein Anspruch auf be- rufliche Massnahmen sowie eine Invalidenrente verneint wurde (act. II 38). Diese Verfügung bildet die zeitliche Vergleichsbasis (vgl. E. 2.3 vorne) für die Beurteilung der Frage, ob der Beschwerdeführer bis zum Erlass der angefochtenen Nichteintretensverfügung vom 3. März 2025 (act. II 75) eine erhebliche Veränderung des Sachverhalts glaubhaft machen konnte. Nicht massgeblich ist demgegenüber die Nichteintretensverfügung vom 10. Ja- nuar 2024 (act. II 56), lag dieser doch keine umfassende sachverhaltliche Abklärung mit anschliessender Rentenprüfung zugrunde. 3.2 3.2.1 Der Beschwerdeführer macht beschwerdeweise ausschliesslich eine im Vergleich zur Referenzverfügung vom 30. September 2019 (vgl. E. 3.1 vorne) eingetretene Veränderung bzw. Verschlechterung seines Ge- sundheitszustandes geltend. Bei Erlass der Verfügung vom 30. September 2019 (act. II 38) stellte die Beschwerdegegnerin in medizinischer Hinsicht auf das bidisziplinäre</w:t>
      </w:r>
    </w:p>
    <w:p>
      <w:r>
        <w:t>Urteil des Verwaltungsgerichts des Kantons Bern vom 16. Mai 2025, IV 200 2025 224 -7- (rheumatologisch-psychiatrische) Medas-Gutachten vom 4. April 2019 (act. II 31.1 ff.) ab. In der interdisziplinären Gesamtbeurteilung wurden die folgenden Diagnosen gestellt (act. II 31.1 S. 6): Mit Auswirkungen auf die Arbeitsfähigkeit 1. Chronifiziertes rechtsbetontes lumbosakrales Schmerzsyndrom mit Chondrose L4/5 und beginnenden Facettengelenks-Arthrosen L4 bis S1 beidseits 2. Status nach Algodystrophie (CRPS = Complex Regional Pain Syndro- me) des linken Fusses mit chronifiziertem neuropathischem Schmerz- syndrom nach Quetschtrauma des linken Fusses mit instabiler Luxation im Interphalangeal-Gelenk der Grosszehe und nicht dislozierter Fraktur des Metatarsale-Köpfchens V 05/2001 Ohne Auswirkungen auf die Arbeitsfähigkeit 3. Subacromiales Impingement-Syndrom links ohne Hinweise auf eine Ro- tatorenmanschetten-Läsion 4. Status nach Kokain-Abhängigkeit (ICD-10 F14.20) 5. Status nach Alkohol-Abhängigkeit (ICD-10 F10.20) 6. Akzentuierte Persönlichkeitsanteile mit hoher Selbstbezogenheit und Externalisierung von Verantwortung (ICD-10 Z73.1) Mit der Neuanmeldung vom Oktober 2024 reichte der Beschwerdeführer diverse Berichte behandelnder Ärzte ein (act. II 61; 65; 70). In den Arztbe- richten des Spitals E.________ (act. II 61) wurden im Wesentlichen und über den zeitlichen Verlauf gleichbleibend chronische Beinschmerzen rechts, chronische Rückenschmerzen rechts mit Ausstrahlung in die Leiste rechts, chronische Schulterschmerzen links sowie ein V.a. (= Verdacht auf) eine PTBS mit somatoformen Beschwerden diagnostiziert (S. 1, 3, 5, 13,</w:t>
      </w:r>
    </w:p>
    <w:p>
      <w:r>
        <w:rPr>
          <w:b/>
        </w:rPr>
        <w:t>E. 16</w:t>
      </w:r>
    </w:p>
    <w:p>
      <w:r>
        <w:t>20, 22, 24, 27, 29, 31, 34, 36). Ferner wurden im von Dr. med. F.________ (gemäss Eintrag auf der Gesundheitsberufeplattform [&lt;www.medregom.admin.ch&gt;] verfügt diese über keinen fachmedizinischen Titel) mitunterzeichneten Bericht vom 18. Dezember 2024 (act. II 70) psy- chische und Verhaltensstörungen durch Cannabinoide: Abhängigkeitssyn- drom (ICD-10 F12.2), täglicher Konsum, psychische und Verhaltensstörungen durch Sedativa oder Hypnotika: Abhängigkeitssyn- drom (ICD-10 F13.2), eigenanamnestisch seit einem Monat abstinent, eine</w:t>
      </w:r>
    </w:p>
    <w:p>
      <w:r>
        <w:t>Urteil des Verwaltungsgerichts des Kantons Bern vom 16. Mai 2025, IV 200 2025 224 -8- chronische Schmerzstörung mit somatischen und psychischen Faktoren (ICD-10 F45.41), eine rezidivierende depressive Störung, gegenwärtig leichte Episode (ICD-10 F33.0) sowie eine PTBS (ICD-10 F43.1) "Akte- nanamnestisch" diagnostiziert (S. 2). 3.2.2 Nach der Rechtsprechung genügt weder eine im Vergleich zu früheren ärztlichen Einschätzungen ungleich attestierte Arbeitsunfähigkeit noch eine unterschiedliche diagnostische Einordnung des geltend gemach- ten Leidens per se, um auf einen veränderten Gesundheitszustand zu schliessen; notwendig ist vielmehr eine veränderte Befundlage (Urteil des Bundesgerichts [BGer] 8C_316/2024 vom 12. März 2025 E. 2.3.2). Zwar sind an einen Bericht behandelnder Ärzte zur Glaubhaftmachung einer Sachverhaltsveränderung keine strengen Anforderungen zu stellen. Gleichwohl ist auch von einem solchen Bericht zu verlangen, dass er nach- vollziehbar aufzeigt, aufgrund welcher Befunde die behandelnden Fachper- sonen von einer erheblichen Verschlechterung des Gesundheitszustandes ausgehen (Urteil des BGer 8C_238/2023 vom 22. November 2023 E. 5.2). Ob in somatischer Hinsicht im Vergleich zur Referenzverfügung vom 30. September 2019 (vgl. E. 3.1 vorne) eine wesentliche Änderung glaub- haft gemacht ist, erscheint zumindest fraglich. Denn einerseits fehlt es weitgehend an einer schlüssig dokumentierten Befundlage, welche eine Verschlechterung des Gesundheitszustandes im Sinne der Glaubhaftma- chung als nachvollziehbar erscheinen lässt. Andererseits bewirkte die schmerztherapeutische Behandlung mittels Infiltrationen/Injektionen eine massgebliche Schmerzlinderung (vgl. act. II 61 S. 8, 18, 23 f.), so dass sich eine über das bestehende Ausmass dauerhafte Beeinträchtigung des funk- tionellen Leistungsvermögens als nicht glaubhaft dargetan erweist. Sodann wurden in psychischer Hinsicht im Unterschied zum Medas-Gutachten vom 4. April 2019 (act. II 31.1 S. 6) namentlich zwar eine chronische Schmerz- störung mit somatischen und psychischen Faktoren (ICD-10 F45.41) sowie eine rezidivierende depressive Störung, gegenwärtig leichte Episode (ICD-10 F33.0), diagnostiziert (act. II 70 S. 2). Ob dies in Anbetracht des Umstands, dass diese Diagnosen bislang nicht fachpsychiatrisch gestellt wurden – weder Dr. med. F.________ noch Dr. med. G.________, Fach- arzt für Allgemeine Innere Medizin (act. II 69 S. 1), verfügen über einen</w:t>
      </w:r>
    </w:p>
    <w:p>
      <w:r>
        <w:t>Urteil des Verwaltungsgerichts des Kantons Bern vom 16. Mai 2025, IV 200 2025 224 -9- entsprechenden Facharzttitel – für die Annahme einer neunanmeldungs- rechtlich relevanten Glaubhaftmachung eines veränderten (psychischen) Gesundheitszustandes genügt, kann mit Blick auf die nachfolgenden Erwä- gungen offen bleiben. Denn selbst wenn dies bejaht würde, so wären die geltend gemachten Veränderungen unter den hier gegebenen Umständen jedenfalls nicht geeignet, den Grad der Invalidität in einer anspruchserheb- lichen Weise zu beeinflussen (vgl. E. 2.1.1 vorne). 3.3 3.3.1 Wie in E. 3.2.1 vorne gezeigt, macht der Beschwerdeführer aus- schliesslich eine Veränderung bzw. Verschlechterung seines Gesundheits- zustandes, nicht jedoch auch eine Statusänderung geltend. Die Beschwerdegegnerin weist insoweit zu Recht darauf hin, dass der Be- schwerdeführer in der Referenzverfügung vom 30. September 2019 (act. II 38) im Rahmen der Invaliditätsbemessung als Teilerwerbstätiger ohne zusätzlichen Aufgabenbereich (vgl. BGE 142 V 290) qualifiziert (act. II 35) und der (demnach allein versicherte) erwerbliche Bereich mit 30 % festgelegt wurde (Beschwerdeantwort S. 2 Ziff. 5). Selbst wenn eine neunanmeldungsrechtlich relevante Änderung des Gesundheitszustands glaubhaft gemacht und in einer anschliessenden umfassenden und freien Prüfung der tatsächlichen und rechtlichen Verhältnisse auf eine Arbeitsun- fähigkeit von 100 % in einer Verweistätigkeit zu schliessen wäre, führte dies mit der Beschwerdegegnerin allein zu einem Invaliditätsgrad von ma- ximal 30 % (100 % x 0.3 [vgl. BGE 142 V 290 E. 8.1 S. 298]), was keinen Rentenanspruch begründete (Art. 28 Abs. 1 lit. c IVG). Bleibt es demnach ungeachtet der Frage nach der Glaubhaftmachung einer relevanten Verän- derung des Gesundheitszustandes bei der Verneinung eines Rentenan- spruchs, bedarf es keiner abschliessenden Prüfung der eingereichten medizinischen Berichte (vgl. Urteil des BGer 8C_4/2024 vom 27. November 2024 E. 5.2.1). 3.3.2 Allerdings galt die der Verfügung vom 30. September 2019 zu- grundeliegende Rechtslage nur bis am 31. Dezember 2021. Am 1. Januar 2022 traten im Zuge der Weiterentwicklung der IV revidierte Bestimmungen im IVG sowie im ATSG samt entsprechendem Verordnungsrecht in Kraft (Weiterentwicklung der IV [WEIV]; Änderung vom 19. Juni 2020, AS 2021</w:t>
      </w:r>
    </w:p>
    <w:p>
      <w:r>
        <w:t>Urteil des Verwaltungsgerichts des Kantons Bern vom 16. Mai 2025, IV 200 2025 224 -10- 705). Neu wird bei Teilerwerbstätigen immer ein Aufgabenbereich nach Art. 7 Abs. 2 IVG i.V.m. Art. 27 Abs. 1 IVV angerechnet und stets die ge- mischte Methode (BGE 145 V 370 E. 4.1 S. 373, 144 I 21 E. 2.1 S. 23) an- gewandt (Art. 28a Abs. 3 IVG i.V.m. Art. 24septies Abs. 2 lit. c IVV; vgl. sodann Bundesamt für Sozialversicherungen BSV, Ziff. 3115 des Kreis- schreibens über Invalidität und Rente in der Invalidenversicherung [KSIR – zur Bedeutung von Verwaltungsweisungen vgl. BGE 150 V 1 E. 6.4.2 S. 6] sowie BSV, Ausführungsbestimmungen zur Änderung des Bundesgesetzes über die Invalidenversicherung [Weiterentwicklung der IV], Erläuternder Bericht [nach Vernehmlassung] vom 3. November 2021, S. 15 und S. 55 [unter: Sozialversicherungen/Invalidenversicherung IV/Reformen &amp; Revisi- onen/Weiterentwicklung der IV/Erläuterungen]). Indessen sind im Rahmen einer Neuanmeldungsprüfung wie bei der Revision (Art. 17 ATSG) allein nachträgliche Änderungen im für die Entscheidfindung massgeblichen Sachverhalt bzw. Tatsachenspektrum zu berücksichtigen (vgl. E. 2.1.1 vor- ne; MEYER/REICHMUTH, Rechtsprechung des Bundesgerichts zum IVG, 4. Aufl. 2022, Art. 30 N. 123). Die nachträgliche Änderung des positiven Rechts stellt für sich jedoch weder einen Neuanmeldungs- (Art. 87 Abs. 2 f. IVV) noch einen Revisionsgrund (Art. 17 ATSG) dar, weil sie keine Verän- derung des Sachverhalts, sondern allenfalls andere Rechtsfolgen bewirkt, was auch auf die seit 1. Januar 2022 zur Anwendung gelangende neue rechtliche Regelung betreffend die Bemessung der Invalidität von Teiler- werbstätigen zutrifft. Eine intertemporalrechtliche Bestimmung, welche in Bezug auf die besagte Änderung der Rechtsgrundlagen eine Regelung enthält, besteht jedoch nicht, so dass die Rechtsänderung im vorliegenden, nicht den materiellen Leistungsanspruch betreffenden Neuanmeldungsver- fahren nicht zu berücksichtigen ist. Namentlich liegt hier nicht der Fall einer ursprünglich rechtskräftig zugesprochenen Dauerleistung vor, welche im Lichte der neuen rechtlichen Regelung allenfalls zu überprüfen und gege- benenfalls anzupassen wäre (vgl. BGE 146 V 364). Schliesslich würde auch der per 1. Januar 2024 gültige Pauschalabzug nichts ändern, da die Anwendung der Regelung von Art. 26bis Abs. 3 IVV angesichts der maxima- len erwerblichen Gewichtung von 30 % ebenfalls nicht zu einem Rentenan- spruch führen kann, zumal für die Beurteilung der Glaubhaftmachung auf die für die Rentenablehnung damals massgebende Invaliditätsgradbemes-</w:t>
      </w:r>
    </w:p>
    <w:p>
      <w:r>
        <w:t>Urteil des Verwaltungsgerichts des Kantons Bern vom 16. Mai 2025, IV 200 2025 224 -11- sung abgestellt wird (vgl. Abs. 2 der Übergangsbestimmung zur Änderung vom 18. Oktober 2023; Ziff. 9202 f. KSIR). 3.4 Demnach führte auch eine allfällige, im Zuge eines glaubhaft ge- machten veränderten Gesundheitszustandes uneingeschränkte materielle Überprüfung des Leistungsanspruchs zu keinem (rentenbegründenden) Invaliditätsgrad. Die Verfügung vom 3. März 2025 (act. II 75) erweist sich somit als rechtens und die dagegen erhobene Beschwerde ist abzuweisen.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500.--, hat bei diesem Ausgang des Verfahrens der unterliegende Beschwerdeführer zu tragen (Art. 108 Abs. 1 VRPG). Diese sind dem geleisteten Kostenvorschuss glei- cher Höhe zu entnehmen. 4.2 Nach Art. 1 Abs. 1 IVG i.V.m. Art. 61 lit. g ATSG (Umkehrschluss) hat der Beschwerdeführer keinen Anspruch auf eine Parteientschädigung. Die obsiegende Beschwerdegegnerin hat als Sozialversicherungsträgerin keinen Anspruch auf eine Parteientschädigung (vgl. dazu auch BGE 128 V 124 E. 5b S. 133).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