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106 vom 6. August 2025</w:t>
      </w:r>
    </w:p>
    <w:p>
      <w:r>
        <w:t>BE Verwaltungsgericht, 2025-08-06, DE</w:t>
      </w:r>
    </w:p>
    <w:p>
      <w:r>
        <w:rPr>
          <w:b/>
        </w:rPr>
        <w:t xml:space="preserve">Quelle: </w:t>
      </w:r>
      <w:r>
        <w:t>https://mcp.opencaselaw.ch/entscheid/be_verwaltungsgericht_200_2025_106</w:t>
      </w:r>
    </w:p>
    <w:p>
      <w:r>
        <w:t>FR: BE_VERWALTUNGSGERICHT 200 2025 106 du 6 août 2025</w:t>
      </w:r>
    </w:p>
    <w:p>
      <w:r>
        <w:t>IT: BE_VERWALTUNGSGERICHT 200 2025 106 del 6 agosto 2025</w:t>
      </w:r>
    </w:p>
    <w:p>
      <w:pPr>
        <w:pStyle w:val="Heading2"/>
      </w:pPr>
      <w:r>
        <w:t>Regeste</w:t>
      </w:r>
    </w:p>
    <w:p>
      <w:r>
        <w:t>Einspracheentscheid vom 17. Januar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17. Januar 2025 (act. IIE 1 ff.). Streitig und zu prüfen ist der Erlass der Rückforderung von zu Unrecht bezogener Kurzarbeitsentschädigung betreffend die Mona- te März 2020 bis Mai 2021 in der Höhe von Fr. 69'766.35. Nicht zu prüfen ist die Rückforderung als solche und deren Höhe; darüber wurde im unan- gefochten in Rechtskraft erwachsenen Urteil des Bundesverwaltungsge- richts vom 24. Januar 2024 abschliessend befunden (act. IIB 2 ff.).</w:t>
      </w:r>
    </w:p>
    <w:p>
      <w:r>
        <w:rPr>
          <w:b/>
        </w:rPr>
        <w:t>E. 1.3</w:t>
      </w:r>
    </w:p>
    <w:p>
      <w:r>
        <w:t>Die Abteilungen urteilen gewöhnlich in einer Kammer bestehend aus drei Richterinnen oder Richtern (Art. 56 Abs. 1 GSOG).</w:t>
      </w:r>
    </w:p>
    <w:p>
      <w:r>
        <w:t>Urteil des Verwaltungsgerichts des Kantons Bern vom 6. Aug. 2025, ALV 200 2025 106 -5-</w:t>
      </w:r>
    </w:p>
    <w:p>
      <w:r>
        <w:rPr>
          <w:b/>
        </w:rPr>
        <w:t>E. 1.4</w:t>
      </w:r>
    </w:p>
    <w:p>
      <w:r>
        <w:t>Das Gericht überprüft den angefochtenen Entscheid frei und ist an die Begehren der Parteien nicht gebunden (Art. 61 lit. c und d ATSG; Art. 80 lit. c Ziff. 1 und Art. 84 Abs. 3 VRPG). 2. 2.1 Unrechtmässig bezogene Leistungen sind zurückzuerstatten. Wer Leistungen in gutem Glauben empfangen hat, muss sie nicht zurückerstat- ten, wenn eine grosse Härte vorliegt (Art. 25 Abs. 1 ATSG). Massgebend ist der gute Glaube während des Bezugs der unrechtmässigen Leistung (SVR 2018 EL Nr. 7 S. 17, 9C_728/2016 E. 1.1). 2.1.1 Wer einen Rechtsmangel kennt, gilt diesbezüglich nicht als gutgläu- big. Sodann darf sich derjenige nicht auf seinen guten Glauben berufen, dem der Mangel bei Anwendung zumutbarer Aufmerksamkeit erkennbar gewesen wäre. Dabei ist diejenige Aufmerksamkeit geboten, die nach den Umständen verlangt werden kann. Diese zivilrechtlichen Grundsätze gelten gleichermassen für den Bereich des Sozialversicherungsrechts (BGE 120 V 319 E. 10a S. 335). Das Verhalten, welches den guten Glauben aussch- liesst, braucht nicht in einer Verletzung der Melde- oder Auskunftspflicht zu bestehen. Dies ist nur eine zwar häufige, aber nicht die einzige Form eines schuldhaften Verhaltens. Vielmehr fällt auch ein anderes Verhalten in Be- tracht, z.B. die Unterlassung, sich bei der Verwaltung zu erkundigen (ARV 2002 S. 195 E. 2a). Liegt ein leicht erkennbarer Rechtsmangel vor, so kann die anfänglich fehlende Gutgläubigkeit nicht durch das Andauern der von der Verwaltung fälschlicherweise ausgerichteten Leistung wiederhergestellt werden (BGE 118 V 214 E. 2b S. 219; ARV 2002 S. 196 E. 3). 2.1.2 Nach ständiger Rechtsprechung ist der gute Glaube als Erlass- voraussetzung nicht schon mit der Unkenntnis des Rechtsmangels gege- ben. Vielmehr darf sich die Leistungsempfängerin oder der Leistungsemp- fänger nicht nur keiner böswilligen Absicht, sondern auch keiner groben Nachlässigkeit schuldig gemacht haben. Daraus erhellt einerseits, dass der gute Glaube von vornherein entfällt, wenn die zu Unrecht erfolgte Leis- tungsausrichtung auf eine arglistige oder grobfahrlässige Melde- oder Aus- kunftspflichtverletzung zurückzuführen ist. Andererseits kann sich die rück-</w:t>
      </w:r>
    </w:p>
    <w:p>
      <w:r>
        <w:t>Urteil des Verwaltungsgerichts des Kantons Bern vom 6. Aug. 2025, ALV 200 2025 106 -6- erstattungspflichtige Person auf den guten Glauben berufen, wenn ihr feh- lerhaftes Verhalten nur eine leichte Fahrlässigkeit darstellt. Wie in anderen Bereichen beurteilt sich das Mass der erforderlichen Sorgfalt nach einem objektiven Massstab, wobei aber das den Betroffenen subjektiv Mögliche und Zumutbare (Urteilsfähigkeit, Gesundheitszustand, Bildungsgrad usw.) nicht ausgeblendet werden darf (BGE 138 V 218 E. 4 S. 220; SVR 2022 EL Nr. 7 S. 21, 9C_318/2021 E. 3.1). 2.2 Guter Glaube und grosse Härte sind kumulativ geforderte Voraus- setzungen für den Erlass einer Rückzahlung unrechtmässig bezogener Leistungen (BGE 126 V 48 E. 3c S. 53; Urteil des Bundesgerichts [BGer] 8C_213/2019 vom 13. Juni 2019 E. 4.4). 2.3 Zuständig für die Beurteilung eines Gesuches um Erlass einer Rückforderung ist die kantonale Amtsstelle (KAST) des Kantons, in dem der Versicherte bei Eröffnung der Rückforderungsverfügung seinen Wohn- ort hatte (Art. 119 Abs. 3 AVIV). 3. 3.1 Das Bundesverwaltungsgericht hat mit Urteil B-4231/2022 vom 24. Januar 2024 rechtskräftig und für das Erlassverfahren verbindlich fest- gestellt, dass die Beschwerdeführerin als Inhaberin des Einzelunterneh- mens B.________ im Zeitraum von März 2020 bis Mai 2021 zu Unrecht Kurzarbeitsentschädigung in der Höhe von insgesamt Fr. 69'766.35 bezo- gen hat (act. IIB 2 ff., insbes. 19 E. 5.6). Zu beurteilen ist nachfolgend, ob die Beschwerdeführerin beim unrecht- mässigen Bezug der Kurzarbeitsentschädigung von Fr. 69'766.35 gutgläu- big war. 3.2 3.2.1 Der Beschwerdegegner verneinte die Gutgläubigkeit in Bezug auf den Empfang von Kurzarbeitsentschädigung in den Monaten, in denen das Unternehmen nicht aufgrund behördlicher Massnahmen geschlossen war, unter Verweis auf das Fehlen der Arbeitszeitkontrolle.</w:t>
      </w:r>
    </w:p>
    <w:p>
      <w:r>
        <w:t>Urteil des Verwaltungsgerichts des Kantons Bern vom 6. Aug. 2025, ALV 200 2025 106 -7- Nach Art. 31 Abs. 3 lit. a AVIG haben Arbeitnehmer, deren Arbeitsausfall nicht bestimmbar oder deren Arbeitszeit nicht ausreichend kontrollierbar ist, keinen Anspruch auf Kurzarbeitsentschädigung. Die genügende Kontrol- lierbarkeit des Arbeitsausfalles setzt eine betriebliche Arbeitszeitkontrolle voraus (Art. 46b Abs. 1 AVIV). Damit soll sichergestellt werden, dass der Arbeitsausfall für die Durchführungsorgane der Arbeitslosenversicherung überprüfbar ist. Die Rechtmässigkeit der bezogenen Leistungen lässt sich praxisgemäss einzig anhand von detaillierten betrieblichen Unterlagen, namentlich aufgrund eines hinreichenden Zeiterfassungssystems im Sinne des Erfordernisses der täglich fortlaufenden Aufzeichnungen, feststellen (BGE 150 V 24). Dass betriebliche Arbeitszeitkontrollen für alle von Kurzarbeit betroffenen Mitarbeitenden vorgeschrieben sind, hätte die Beschwerdeführerin auf- grund der ausdrücklichen Hinweise in den Bewilligungsentscheiden betref- fend Kurzarbeit (z.B. act. IIA 518) sowie den Antragsformularen betreffend Kurzarbeitsentschädigung (z.B. act. IIA 523) ohne Weiteres wissen müssen bzw. können, weshalb diese (grobe) Nachlässigkeit den guten Glauben ausschliesst. 3.2.2 Nicht anders verhält es sich in Bezug auf die maximal anzugebende AHV-pflichtige Lohnsumme (statt des effektiven Lohnes) für den im Betrieb der Beschwerdeführerin mitarbeitenden Ehegatten (z.B. act. IIA 523). Über den Wegfall der Anspruchsberechtigung für im Betrieb mitarbeitende Ehe- gatten von Personen mit massgebenden Entscheidungsbefugnissen per Ende Mai 2020 hat der Bundesrat schliesslich in einer Medienmitteilung vom 20. Mai 2020 informiert und die Hinweise in den Antragsformularen betreffend Kurzarbeitsentschädigung wurden entsprechend angepasst (z.B. act. IIA 356 und 350). Die entsprechende Darlegung des Beschwerdegeg- ners (act. IIE 4 lit. c) ist nicht zu beanstanden. 3.2.3 Auch auf die fehlenden Anspruchsberechtigungen von Personen in gekündigtem Arbeitsverhältnis und für Feiertage wurde in den Antragsfor- mularen betreffend Kurzarbeitsentschädigung (z.B. act. IIA 523) bzw. in den Bewilligungsentscheiden betreffend Kurzarbeit (z.B. act. IIA 518) expli- zit hingewiesen. Schliesslich hätte der (der Sache am nächsten stehenden) Beschwerdeführerin bei Aufbringung der gebotenen Sorgfalt auch ohne</w:t>
      </w:r>
    </w:p>
    <w:p>
      <w:r>
        <w:t>Urteil des Verwaltungsgerichts des Kantons Bern vom 6. Aug. 2025, ALV 200 2025 106 -8- Weiteres auffallen müssen, dass die von ihr in den Abrechnungsformularen für die Monate Juni, Oktober und November 2020 deklarierten Sollstunden (und folglich auch die wirtschaftlich bedingten Ausfallstunden) zu hoch an- gesetzt waren. 3.2.4 In Bezug auf diese vorstehend dargelegten Punkte hat der Be- schwerdegegner die fehlende Erlassvoraussetzung des guten Glaubens unter einlässlicher und zutreffender Begründung zu Recht verneint. Es sind keine Umstände ersichtlich, die eine andere Beurteilung erlauben würden, und solche werden von der Beschwerdeführerin in ihrer summarisch be- gründeten Beschwerde auch nicht vorgebracht. Soweit die Beschwerdefüh- rerin in diesem Zusammenhang im Wesentlichen die Ergebnisse der Ar- beitgeberkontrolle vom 31. August 2021 in Frage stellt, ist darauf hinzuwei- sen, dass das Bundesverwaltungsgericht hierzu im unangefochten geblie- benen Urteil B-4231/2022 vom 24. Januar 2024 (act. IIB 2 ff.) abschlies- send Stellung genommen hat. 3.3 Wie das Bundesverwaltungsgericht verbindlich festgestellt hat, hatte die Beschwerdeführerin für sich selbst keinen Anspruch auf Kurzarbeits- entschädigung (act. IIB 12 E. 4.3.3). Dennoch wurde ihr in den Monaten März bis Mai 2020 Kurzarbeitsentschädigung ausgerichtet, dies nachdem die Arbeitslosenkasse mit E-Mail vom 12. November 2020 sie ausdrücklich darauf aufmerksam gemacht hatte, dass sie bislang nicht als Antragsteller- in aufgeführt gewesen sei, obschon sie im Falle einer Mitarbeit im Betrieb von März bis Mai 2020 einen Anspruch auf Kurzarbeitsentschädigung habe (act. IIA 440). Der Beschwerdegegner bejahte im Einspracheentscheid vom 17. Januar 2025, S. 5 lit. d, aufgrund dieser Falschauskunft die Gutgläubigkeit der Be- schwerdeführerin (dem Grundsatz nach) in Bezug auf die für sie selbst ausbezahlte Kurzarbeitsentschädigung der Monate März bis Mai 2020 (act. IIE 5 lit. d) und anerkannte, dass ein den guten Glauben konstituie- rendes Verhalten der Arbeitslosenkasse vorliege. Diese Feststellung trifft zu und ist nicht zu beanstanden. Der Beschwerdegegner hielt dann anschliessend jedoch fest, dass der an sich hinsichtlich des Anspruchs an sich bestehende gute Glaube aufgrund</w:t>
      </w:r>
    </w:p>
    <w:p>
      <w:r>
        <w:t>Urteil des Verwaltungsgerichts des Kantons Bern vom 6. Aug. 2025, ALV 200 2025 106 -9- anderer Voraussetzungen zu verneinen sei und diesbezüglich folglich keine vertrauensbildende Auskunft erteilt worden sei. Der Empfang der entspre- chenden Leistung sei deshalb aus anderen Gründen bösgläubig erfolgt (act. IIE 8 f. lit. k). 3.3.1 In seiner diesbezüglichen Argumentation nimmt der Beschwerde- gegner Bezug auf ein Urteil des Eidgenössischen Versicherungsgerichts (EVG; heute BGer) C 18/01 vom 11. Juni 2002, wonach die Voraussetzung für den guten Glauben entweder erfüllt oder nicht erfüllt ist und entspre- chend eine teilweise Anerkennung des guten Glaubens nicht möglich sei (act. IIE 8 lit. k). Hieraus leitet der Beschwerdegegner sodann ab, dass der an sich zu bejahende gute Glaube hinsichtlich der der Beschwerdeführerin in eigener Person für die Monate März bis Mai 2020 ausbezahlten Kurzar- beitsentschädigung insgesamt zu verneinen sei, weil in jeder der drei Ab- rechnungsperioden zumindest eine andere Ursache für die Rückforderung von zu Unrecht bezogener Kurzarbeitsentschädigung vorgelegen habe. Dabei handle es sich einerseits um die Berücksichtigung nur des Pau- schalbetrags (statt des effektiven Lohns) des mitarbeitenden Ehegatten (betreffend die Abrechnungsperioden März bis Mai 2020), andererseits um den Umstand, dass Arbeitsausfälle, die durch Feiertage entstehen, nicht unter Kurzarbeit fallen (betreffend die Abrechnungsperiode April 2020), und schliesslich um die fehlende Arbeitszeitkontrolle (betreffend die Abrech- nungsperiode Mai 2020; act. IIE 8 lit. k). 3.3.2 Damit verkennt der Beschwerdegegner, dass sich der gute Glaube auf die Rechtmässigkeit des konkreten Leistungsbezugs bezieht. Beim unrechtmässigen Bezug von Kurzarbeitsentschädigung für verschiedene Personen eines Unternehmens ist für jeden Bezug das Vorliegen des guten Glaubens einzeln zu prüfen. So kann ein Umstand, der zum unrechtmässi- gen Leistungsbezug für den einen Arbeitnehmer führt, beim anderen Ar- beitnehmer nicht von Bedeutung sein. Ein solcher Fall liegt hier vor. 3.3.3 Für den Monat Mai 2020 liegen weder für die Beschwerdeführerin noch für die übrigen Mitarbeitenden hinreichende Arbeitszeitkontrollen vor. Da sich die Beschwerdeführerin dieser Vorschrift hätte bewusst sein müs- sen (vgl. E. 3.2.1 hiervor), fehlt es integral und damit namentlich auch für sie selber an der entsprechenden Voraussetzung für den guten Glauben an</w:t>
      </w:r>
    </w:p>
    <w:p>
      <w:r>
        <w:t>Urteil des Verwaltungsgerichts des Kantons Bern vom 6. Aug. 2025, ALV 200 2025 106 -10- die Rechtmässigkeit des konkreten Leistungsbezugs. Es besteht wie vom Bundesverwaltungsgericht bestätigt (vgl. act. IIE 18 E. 5.5.4) kein guter Glaube. 3.3.4 Anders stellt sich die Situation für die Beschwerdeführerin in ihrem persönlichen Leistungsbezug für die Monate März und April 2020 dar. In diesen Monaten wurde vom Bundesverwaltungsgericht eine Arbeitszeitkon- trolle wegen der Betriebsschliessung als nicht notwendig bezeichnet (act. IIE 16 f. E. 5.5.2 f.). Es kann der Beschwerdeführerin deshalb (anders als für den Monat Mai 2020; vgl. E. 3.3.3 hiervor) nicht vorgehalten werden, sie sei betreffend den Bezug in eigener Person hinsichtlich einer (anderen) Voraussetzung (hier der Arbeitszeitkontrolle) nicht im guten Glauben gewe- sen. Auch der Umstand, dass die Beschwerdeführerin betreffend die gleichzeitige, jedoch zu hohe Leistungsausrichtung an ihren Ehemann (ge- stützt auf den effektiven Lohn statt der AHV-pflichtige Lohnsumme) nicht gutgläubig war (vgl. E. 3.2.2 hiervor), ändert daran nichts, denn der fehlen- de gute Glaube betrifft hier keine (parallel) auch ihren Anspruch betreffende Voraussetzung. Einzig hinsichtlich der für die Feiertage (Karfreitag und Ostermontag) geltend gemachten Kurzarbeitsentschädigung (vgl. E. 3.2.3 hiervor) der Beschwerdeführerin selbst läge ein alternativer Grund zur Ver- neinung des guten Glaubens (für diese beiden Tage) vor. Weil der Beschwerdeführerin nicht zum Vorwurf gemacht werden kann, dass sie das Fehlen der eigenen Anspruchsberechtigung gemäss Art. 31 Abs. 1 lit. a AVIG nicht erkannt hat und zufolge des Fehlers der Verwaltung auch nicht erkennen musste (vgl. E. 3.3 hiervor), ergibt sich, dass sie die Leistung hinsichtlich des Monats März 2020 im vollen Umfang und im Mo- nat April 2020 unter Abzug Feiertage in gutem Glauben empfangen hat, denn es ist kein weiterer, den guten Glauben ausschliessender Umstand ersichtlich. 3.3.5 Der Beschwerdegegner hat am 26. März 2025 mitgeteilt (vgl. pro- zessleitende Verfügung vom 24. März 2025), es seien Pauschalabgeltun- gen ausbezahlt worden. Die darin enthaltenen Beträge für die Feiertage könnten nicht (mehr) ermittelt werden. Es ist damit (auch dem Gericht) nicht möglich, die in gutem Glauben empfangenen Entschädigungen um</w:t>
      </w:r>
    </w:p>
    <w:p>
      <w:r>
        <w:t>Urteil des Verwaltungsgerichts des Kantons Bern vom 6. Aug. 2025, ALV 200 2025 106 -11- die Feiertage zu bereinigen. Insoweit liegt Beweislosigkeit vor, die zu Las- ten des Beschwerdegegners geht. Dementsprechend ist der gute Glaube für die Monate März und April 2020 im Umfang der betreffend die Beschwerdeführerin gemeldeten Beträge von Fr. 2'017.95 und Fr. 2'150.75 (Eingabe des Beschwerdegegners vom 26. März 2025), im Total Fr. 4'168.70, zu bejahen. 3.4 Nach dem Dargelegten hat der Beschwerdegegner die Vorausset- zung des guten Glaubens für den Erlass der Rückerstattung im Betrag von Fr. 4'168.70 zu Unrecht verneint und auf die Prüfung der weiteren Voraus- setzung der grossen Härte (vgl. E. 2.2.3 hiervor) verzichtet. Insoweit ist die Beschwerde gutzuheissen und die Sache in diesem Umfang zur Beurtei- lung der grossen Härte an den Beschwerdegegner zurückzuweisen. Darü- ber hinaus fehlt es hingegen am guten Glauben und der Beschwerdegeg- ner hat für den Betrag von Fr. 65'597.65 (Fr. 69’766.35 ./. Fr. 4'168.70) zu Recht den Erlass abgelehnt. Insoweit ist die Beschwerde abzuweisen. 4. 4.1 Da es sich beim Erlass einer Rückforderung nicht um eine Leis- tungsstreitigkeit handelt (vgl. Beschluss der erweiterten Abteilungskonfe- renz des Verwaltungsgerichts des Kantons Bern vom 28. November 2006; BGE 122 V 221 E. 2 S. 222), ist das vorliegende Verfahren kostenpflichtig (Art. 61 Ingress ATSG i.V.m. Art. 102 ff. VRPG und Art. 1 des Dekrets vom 24. März 2010 betreffend die Verfahrenskosten und die Verwaltungsge- bühren der Gerichtsbehörden und der Staatsanwaltschaft [Verfahrenskost- endekret; VKD; BSG 161.12]; vgl. auch BBl 2018 1639). Die Verfahrens- kosten bestehen aus einer Pauschalgebühr (Art. 103 Abs. 1 Satz 1 VRPG). Die Behörde setzt die Gebühr gestützt auf die gesetzliche Gebührenord- nung nach pflichtgemässem Ermessen fest (Art. 103 Abs. 2 VRPG). Die Gebühren für die Beurteilung von Streitigkeiten durch das Verwaltungsge- richt betragen auf dem Gebiet des Sozialversicherungsrechts Fr. 200.-- bis Fr. 2'500.-- (Art. 4 Abs. 2 i.V.m. Art. 51 lit. e VKD).</w:t>
      </w:r>
    </w:p>
    <w:p>
      <w:r>
        <w:t>Urteil des Verwaltungsgerichts des Kantons Bern vom 6. Aug. 2025, ALV 200 2025 106 -12- Die Verfahrenskosten sind vorliegend auf Fr. 800.-- festzusetzen und bei diesem Ausgang des Verfahrens den Parteien anteilsmässig entsprechend ihrem Obsiegen bzw. Unterliegen aufzuerlegen, wobei der Anteil der Be- schwerdeführerin auf 7/8 festzulegen ist und dem in der Höhe von Fr. 800.-- geleisteten Kostenvorschuss zu entnehmen ist und der Anteil des Beschwerdegegners auf 1/8 festzulegen ist. Der vom Kostenvorschuss verbleibende Restbetrag von Fr. 100.-- ist der Beschwerdeführerin nach Eintritt der Rechtskraft des Urteils zurückzuerstatten. 4.2 Nach der Rechtsprechung hat die beschwerdeführende Partei bei teilweisem Obsiegen mindestens Anspruch auf eine reduzierte Parteien- tschädigung (BGE 110 V 54 E. 3a S. 57; SVR 2003 EL Nr. 5 S. 13, P 71/00 E. 4.1). Da der Aufwand für die Beschwerdeführung jedoch nicht das Mass dessen überstieg, was dem Einzelnen zur Besorgung eigener Angelegen- heiten zugemutet werden darf, hat die anwaltlich nicht vertretene Be- schwerdeführerin trotz ihres teilweisen Obsiegens keinen Anspruch auf Ausrichtung einer Parteientschädigung (BGE 127 V 205 E. 4b S. 207).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