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814 vom 29. Juni 2025</w:t>
      </w:r>
    </w:p>
    <w:p>
      <w:r>
        <w:t>BE Verwaltungsgericht, 2025-06-29, DE</w:t>
      </w:r>
    </w:p>
    <w:p>
      <w:r>
        <w:rPr>
          <w:b/>
        </w:rPr>
        <w:t xml:space="preserve">Quelle: </w:t>
      </w:r>
      <w:r>
        <w:t>https://mcp.opencaselaw.ch/entscheid/be_verwaltungsgericht_200_2024_814</w:t>
      </w:r>
    </w:p>
    <w:p>
      <w:r>
        <w:t>FR: BE_VERWALTUNGSGERICHT 200 2024 814 du 29 juin 2025</w:t>
      </w:r>
    </w:p>
    <w:p>
      <w:r>
        <w:t>IT: BE_VERWALTUNGSGERICHT 200 2024 814 del 29 giugno 2025</w:t>
      </w:r>
    </w:p>
    <w:p>
      <w:pPr>
        <w:pStyle w:val="Heading2"/>
      </w:pPr>
      <w:r>
        <w:t>Regeste</w:t>
      </w:r>
    </w:p>
    <w:p>
      <w:r>
        <w:t>Verfügung vom 13. November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1.2.1</w:t>
      </w:r>
    </w:p>
    <w:p>
      <w:r>
        <w:t>Anfechtungsobjekt bildet die Verfügung vom 13. November 2024 (act. II 192). Streitig und zu prüfen ist der Anspruch des Beschwerdeführers auf eine IV-Rente und dabei die Frage, ob die Beschwerdegegnerin die bisher ausgerichtete IV-Rente zu Recht zufolge Missachtung von scha- denmindernden Auflagen auf das Ende des nach der Zustellung der Verfü- gung folgenden Monats eingestellt hat.</w:t>
      </w:r>
    </w:p>
    <w:p>
      <w:r>
        <w:rPr>
          <w:b/>
        </w:rPr>
        <w:t>E. 1.2.2</w:t>
      </w:r>
    </w:p>
    <w:p>
      <w:r>
        <w:t>Soweit der Beschwerdeführer die erstmalige Rentenfestsetzung mit Verfügung vom 12. April 2024 (act. II 166) als offensichtlich unrichtig kriti- siert (Beschwerde S. 7 Rz. 12-14, S. 9 ff. Rz. 21 ff.) und damit sinngemäss gestützt auf Art. 53 Abs. 2 ATSG die rückwirkende Ausrichtung einer gan- zen Rente bei einem IV-Grad von 100 % beantragt, ist dies nicht Gegen- stand des vorliegenden Verfahrens. Der Versicherungsträger kann auf for- mell rechtskräftige Verfügungen oder Einspracheentscheide zurückkom- men, wenn diese zweifellos unrichtig sind und wenn ihre Berichtigung von erheblicher Bedeutung ist (Art. 53 Abs. 2 ATSG). Die Verwaltung kann je-</w:t>
      </w:r>
    </w:p>
    <w:p>
      <w:r>
        <w:t>Urteil des Verwaltungsgerichts des Kantons Bern vom 29. Juni 2025, IV 200 2024 814 -5- doch weder vom Gericht noch von der betroffenen Person zu einer Wie- dererwägung verhalten werden. Es besteht demnach kein gerichtlich durchsetzbarer Anspruch auf Wiedererwägung. Vielmehr hätte der Be- schwerdeführer seine Rechte hinsichtlich der ursprünglichen Verfügung vom 12. April 2024 (act. II 166) im diesbezüglichen Rechtsmittelverfahren zu wahren gehabt (BGE 133 V 50 E. 4 S. 52; SVR 2018 IV Nr. 33 S. 106, 8C_634/2017 E. 5.4, 2014 IV Nr. 7 S. 27, 8C_33/2013 E. 3.3). Insoweit ist auf die Beschwerde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 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2.2.1 Bei der Schadenminderungspflicht der versicherten Person handelt es sich um einen allgemeinen Grundsatz des Sozialversicherungsrechts</w:t>
      </w:r>
    </w:p>
    <w:p>
      <w:r>
        <w:t>Urteil des Verwaltungsgerichts des Kantons Bern vom 29. Juni 2025, IV 200 2024 814 -6- (BGE 129 V 460 E. 4.2 S. 463; SVR 2020 EL Nr. 6 S. 21, 9C_251/2019 E. 7.3.1). Einer versicherten Person sind im Rahmen der Schadenminde- rungspflicht Massnahmen zuzumuten, die ein vernünftiger Mensch in der gleichen Lage ergreifen würde, wenn er keinerlei Entschädigung zu erwar- ten hätte (BGE 140 V 267 E. 5.2.1 S. 274). Die Schadenminderungspflicht setzt den Bestand einer Leistungs- oder Ersatzpflicht voraus. Die aus ihr fliessenden Verhaltenspflichten der versi- cherten oder geschädigten Person berühren daher nicht die Entstehung des Leistungsanspruchs, sondern allein deren Umfang und Bemessung (RKUV 1994 K 929 S. 21 E. 4b). 2.2.2 Gemäss Art. 7 Abs. 1 IVG muss die versicherte Person alles ihr Zumutbare unternehmen, um die Dauer und das Ausmass der Arbeitsun- fähigkeit (Art. 6 ATSG) zu verringern und den Eintritt der Invalidität (Art. 8 ATSG) zu verhindern. Es ist primär Sache des Einzelnen, sich um eine angemessene Eingliederung zu bemühen. Kann eine versicherte Person ihre erwerbliche Beeinträchtigung in zumutbarer Weise selber beheben, so besteht gar keine Invalidität, womit es an der unabdingbaren Anspruchs- voraussetzung für jegliche Leistungen der Invalidenversicherung – auch für Eingliederungsmassnahmen – fehlt. Die Selbsteingliederung als Ausdruck der allgemeinen Schadenminderungspflicht geht nicht nur dem Renten-, sondern auch dem gesetzlichen Eingliederungsanspruch vor (BGE 148 V 397, 113 V 22 E. 4a S. 28; SVR 2023 IV Nr. 46 S. 156, 9C_248/2022 E. 5.3.1; AHI 2001 S. 282 E. 5a aa; RKUV 1987 U 26 S. 391). 2.2.3 Je nach den Umständen greift die Schadenminderungspflicht in die verschiedensten Lebensbereiche ein, wobei jedoch von den Versicherten nur solche Vorkehren verlangt werden können, die unter Berücksichtigung der gesamten objektiven und subjektiven Gegebenheiten des Einzelfalles zumutbar sind (BGE 138 I 205 E. 3.2 S. 209). Die Anforderungen an die Schadenminderungspflicht sind zulässigerweise dort strenger, wo eine er- höhte Inanspruchnahme der Invalidenversicherung (namentlich durch Be- zug einer Rente oder bei einer grundlegend neuen Eingliederung) in Frage steht (BGE 140 V 267 E. 5.2.1 S. 274, 134 I 105 E. 8.2 S. 111; SVR 2020 EL Nr. 6 S. 21, 9C_251/2019 E. 7.3.1). Im Rahmen der Selbsteingliederung dürfen von einer versicherten Person nicht realitätsfremde und in diesem</w:t>
      </w:r>
    </w:p>
    <w:p>
      <w:r>
        <w:t>Urteil des Verwaltungsgerichts des Kantons Bern vom 29. Juni 2025, IV 200 2024 814 -7- Sinne unmögliche oder unzumutbare Vorkehren verlangt werden (ZAK 1989 S. 321 E. 4a). 2.2.4 Entzieht oder widersetzt sich eine versicherte Person einer zumut- baren Behandlung oder Eingliederung ins Erwerbsleben, die eine wesentli- 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Der Tatbestand des Art. 21 Abs. 4 ATSG enthält verschiedene Elemente: Eine vorübergehende oder dauernde Kürzung oder Verweigerung der Leis- tung wegen Verletzung der Schadenminderungspflicht setzt einerseits die Zumutbarkeit der (unterbliebenen) medizinischen Behandlung oder erwerb- lichen Eingliederung voraus. Zum andern muss diese Vorkehr geeignet sein, eine wesentliche Steigerung der Erwerbsfähigkeit zu bewirken. Hierfür bedarf es keines strikten Beweises, sondern es genügt eine – je nach den Umständen zu konkretisierende – gewisse Wahrscheinlichkeit, dass die Vorkehr erfolgreich gewesen wäre. Im Weiteren muss sich die versicherte Person einer solchen Massnahme widersetzt oder entzogen oder nicht aus eigenem Antrieb das ihr Zumutbare dazu beigetragen haben; ab welchem Zeitpunkt eine entsprechende Annahme getroffen werden darf, ist von der richtigen Durchführung des Mahn- und Bedenkzeitverfahrens abhängig. Im Übrigen muss die Sanktion in ihrer konkreten Gestalt verhältnismässig sein, indem das Kürzungsmass und die voraussichtliche günstige Wirkung der zumutbaren Massnahme auf den Erwerbsschaden einander entspre- chen (SVR 2019 IV Nr. 16 S. 48, 8C_865/2017 E. 3.3, 2017 IV Nr. 65 S. 203, 9C_671/2016 E. 2.2 und 4.1.1; Urteil des Bundesgerichts [BGer] 8C_865/2017 vom 19. Oktober 2018 E. 3.3 und 5.2.2). Der in Art. 21 Abs. 4 ATSG vorgesehene Kürzungs- bzw. Verweigerungs- tatbestand erfasst erst ein nach Eintritt des Versicherungsfalles liegendes Verhalten der versicherten Person. Erst dann darf die Verwaltung im Rah-</w:t>
      </w:r>
    </w:p>
    <w:p>
      <w:r>
        <w:t>Urteil des Verwaltungsgerichts des Kantons Bern vom 29. Juni 2025, IV 200 2024 814 -8- men der Schadenminderungspflicht und nach Durchführung des Mahn- und Bedenkzeitverfahrens ein schadenminderndes Verhalten einfordern. Hat die versicherte Person keinen Anspruch auf Leistungen, greift das Mahn- und Bedenkzeitverfahren nicht (SVR 2017 IV Nr. 72 S. 222, 8C_5/2017 E. 5.3).</w:t>
      </w:r>
    </w:p>
    <w:p>
      <w:r>
        <w:t>3. 3.1 Zum Gesundheitszustand des Beschwerdeführers ergibt sich aus den Akten das Folgende: 3.1.1 Dipl. Ärztin D.________ vom RAD diagnostizierte im Bericht vom 14. Juni 2023 (act. II 116) ein Geburtsgebrechen Ziff. 404, einen atypischen Autismus, einen Verdacht auf schädlichen Gebrauch von Cannabis sowie einen Verdacht auf eine nicht stoffgebundene Abhängigkeit (Gamen). Die Medikation (Methylphenidat) sei im Februar 2011 begonnen worden, 2019 sei vom Beschwerdeführer zu erfahren gewesen, dass er die Medikation nicht nehmen wolle und zuvor die Einnahme auch immer wieder nur vor- getäuscht habe. Im Juni 2022 sei die Medikation mit Elvanse aufgenom- men worden. Die Mutter berichte, sie beobachte mehr Offenheit für Kom- munikation, weniger aufbrausendes Verhalten und auch im Lehrbetrieb seien positive Veränderungen bemerkt worden. Im betreuten Wohnen sei der Verdacht entstanden, der Beschwerdeführer konsumiere Cannabis. Die Mutter berichte, ihr Sohn erkläre, Cannabis wirke besser als Medikamente. Sie sei in Sorge über exzessives Gamen (S. 3). Eine Aufforderung zur Cannabisabstinenz sollte ausgesprochen werden, nachdem der Konsum nachgewiesen worden sei (S. 4). 3.1.2 Im Befundbericht der E.________ AG vom 29. Juni 2023 (act. II 119 S. 2) wurde ein positiver Befund auf Cannabinoide (Urin) festgestellt. 3.1.3 Der behandelnde Dr. med. F.________, Facharzt für Psychiatrie und Psychotherapie von der G.________ AG, Psychiatrisches Ambulatori- um, diagnostizierte im Bericht vom 15. August 2023 (act. II 129) ein Asper- ger-Syndrom (ICD-10: F84.5), eine einfache Aktivitäts- und Aufmerksam- keitsstörung (ICD-10: F90.0) sowie Psychische und Verhaltensstörungen</w:t>
      </w:r>
    </w:p>
    <w:p>
      <w:r>
        <w:t>Urteil des Verwaltungsgerichts des Kantons Bern vom 29. Juni 2025, IV 200 2024 814 -9- durch Cannabinoide: Schädlicher Gebrauch (ICD-10: F12.1). Der Be- schwerdeführer absolviere eine Lehre in der ….. In den vergangenen Mo- naten sei es zunehmend zu einem Konflikt mit dem direkten Vorgesetzten gekommen. Aufgrund dieses Konfliktes habe der Beschwerdeführer be- gonnen, Cannabis zu konsumieren. Aufgrund seiner Psychopathologie fehl- ten ihm die Ressourcen, um den Konflikt mit dem Vorgesetzten zu lösen. Ein Wechsel der Ausbildungsstelle werde unterstützt (S. 2). Im Bericht vom 22. September 2023 (act. II 140) führte Dr. med. F.________ aus, das Aufstehen falle dem Beschwerdeführer seit der Ein- nahme von Sequase deutlich einfacher und er sei pünktlich zur Arbeit er- schienen. Der Beschwerdeführer berichte, er konsumiere Cannabis, um sich selber besser kontrollieren zu können. Vom Behandler werde angebo- ten, zu versuchen, mit therapeutischen Gesprächen und allenfalls medika- mentösen Interventionen die Selbstkontrolle zu verbessern, so dass der Beschwerdeführer kein Cannabis mehr konsumieren müsse. Der Be- schwerdeführer werde sich dies bis zur nächsten Konsultation überlegen (S. 2). 3.1.4 Dipl. Ärztin D.________ vom RAD stellte im Bericht vom 21. De- zember 2023 (act. II 146) folgende Diagnosen: 1. Geburtsgebrechen 404 2. Autismus-Spektrum-Störung (Atypisch), (ICD-10: F84.1) 3. Verdacht auf rezidivierende Cannabis-Intoxikationen (ICD-10: F12.0) mit Verdacht auf schädlicher Gebrauch von Cannabinoiden unklaren Ausmasses (ICD-10: F12.1) sowie Verdacht auf nicht-stoffgebundene Abhängigkeit (Gamen, keine ICD-10-Diagnose, nur ICD-11) Die Entwicklung im Rahmen der Beruflichen Massnahmen sei negativ, der Beschwerdeführer halte sich nicht an Absprachen und Regeln, verweise darauf, dass es ihm psychisch nicht gut gehe und zeige kaum Verände- rungsbereitschaft. Zur Arbeitsfähigkeit führte sie aus, aufgrund der vielen Absenzen (Anwesenheit: 60 %) lasse sich keine klare Aussage treffen, entsprechend dem Ausbildungsbericht habe im ersten Ausbildungssemes- ter eine quantitative Leistung von 65 % und im 2. Semester von 50-65 % bestanden (S. 4). In der Tätigkeit als … EBA sei die Leistungsfähigkeit zeit- lich und quantitativ auf ca. 40 bis 50 % reduziert. In einer angepassten Tätigkeit – vorallem serielle Tätigkeiten mit wenig und klaren wiederkeh-</w:t>
      </w:r>
    </w:p>
    <w:p>
      <w:r>
        <w:t>Urteil des Verwaltungsgerichts des Kantons Bern vom 29. Juni 2025, IV 200 2024 814 -10- renden Arbeitsschritten – sei von einer Leistungsfähigkeit von 60 % auszu- gehen. Eine Suchterkrankung sei nicht klar ausgewiesen. Es werde davon ausgegangen, dass ein Substanz- und Medienkonsum bestehe und dieser aus der verringerten Fähigkeit zur Selbstregulation und der Suche nach intensiver Stimulation resultiere. Die Suchterkrankung wirke sich bis zu 20 % auf die Arbeitsfähigkeit aus. Bei einer Suchtmittelabstinenz sei nach sechs Monaten von einer Verbesserung der Arbeitsfähigkeit um 20 % aus- gehen. Die Suchtmittelabstinenz sei innerhalb eines therapeutischen Ge- samtkonzeptes zumutbar. Zumutbar sei auch, den Beschwerdeführer zu einer solchen komplex-psychiatrischen Behandlung aufzufordern mit re- gelmässigen Terminen (im Verlauf mindestens alle drei bis vier Wochen, anfangs häufiger) und einem Verlaufsbericht des Psychiaters nach sechs Monaten auch bezüglich Medikation (S. 6). Bei ausreichend konstanter und intensiver psychiatrischer lösungsorientierter Therapie sei die Suchtmittel- abstinenz mutmasslich in ca. acht Monaten zu erreichen (S. 7). 3.1.5 Im Befundbericht der E.________ AG vom 12. März 2024 (act. II 161) wurde ein positiver Befund auf Cannabinoide (Urin) festgestellt. 3.1.6 Der behandelnde Dr. med. F.________ legte im Bericht vom</w:t>
      </w:r>
    </w:p>
    <w:p>
      <w:r>
        <w:rPr>
          <w:b/>
        </w:rPr>
        <w:t>E. 6</w:t>
      </w:r>
    </w:p>
    <w:p>
      <w:r>
        <w:t>Oktober 2000 über den Allgemeinen Teil des Sozialversicherungsrechts (ATSG; SR 830.1) i.V.m. Art. 54 Abs. 1 lit. a GSOG Beschwerden gegen solche Entscheide. Der Beschwerdeführer ist im vorinstanzlichen Verfahren mit seinen Anträgen nicht durchgedrungen, durch den angefochtenen Ent- scheid berührt und hat ein schutzwürdiges Interesse an dessen Aufhebung, weshalb er zur Beschwerde befugt ist (Art. 59 ATSG). Die örtliche Zustän- digkeit ist gegeben (Art. 69 Abs. 1 lit. a des Bundesgesetzes vom 19. Juni 1959 über die Invalidenversicherung [IVG; SR 831.20]). Da auch die Be- stimmungen über Frist (Art. 60 ATSG) sowie Form (Art. 61 lit. b ATSG; Art. 81 Abs. 1 i.V.m. Art. 32 VRPG eingehalten sind, ist auf die Beschwerde einzutreten (vgl. jedoch E. 1.2.2).</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dem Beschwerdeführer zur Be-</w:t>
      </w:r>
    </w:p>
    <w:p>
      <w:r>
        <w:t>Urteil des Verwaltungsgerichts des Kantons Bern vom 29. Juni 2025, IV 200 2024 814 -20- zahlung auferlegt und dem geleisteten Kostenvorschuss in gleicher Höhe entnommen.</w:t>
      </w:r>
    </w:p>
    <w:p>
      <w:r>
        <w:rPr>
          <w:b/>
        </w:rPr>
        <w:t>E. 6.2</w:t>
      </w:r>
    </w:p>
    <w:p>
      <w:r>
        <w:t>Ausgangsgemäss besteht gemäss Art. 1 Abs. 1 IVG i.V.m. Art. 61 lit. g ATSG (Umkehrschluss) kein Anspruch auf eine Parteientschädigung. Demnach entscheidet das Verwaltungsgericht: 1. Die Beschwerde wird abgewiesen, soweit darauf einzutreten ist. 2. Die Verfahrenskosten von Fr. 800.-- werden dem Beschwerdeführer zur Bezahlung auferlegt und dem geleisteten Kostenvorschuss in glei- cher Höhe entnommen. 3. Es wird keine Parteientschädigung zugesprochen. 4. Zu eröffnen (R): - Rechtsanwältin MLaw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10</w:t>
      </w:r>
    </w:p>
    <w:p>
      <w:r>
        <w:t>Juni 2024 (act. II 172) dar, der Gesundheitszustand sei stationär. Die Konsumation von Cannabis habe in den letzten Monaten zugekommen. So konsumiere der Beschwerdeführer täglich ca. sieben Joints. Die Arbeitsleis- tung sei nach Angaben des Vorgesetzten gut. Allerdings habe der Be- schwerdeführer seit einigen Wochen wieder vermehrt Mühe, pünktlich zur Arbeit zu erscheinen. Eine Abstinenz bezüglich Cannabiskonsum sei drin- gend empfohlen. Dem Beschwerdeführer sei eine Abstinenzbegleitung empfohlen worden. Diese habe er bei fehlender Motivation deutlich abge- lehnt. Die Indikation für eine psychiatrische stationäre Behandlung im G.________ für einen Entzug / eine Entwöhnungsbehandlung wäre eigent- lich gegeben, eine solche mache jedoch bei fehlender Motivation des Be- schwerdeführers gegenwärtig keinen Sinn. Durch die Arbeit im selben Be- trieb wie der Vater habe eine Stabilisierung der Gesamtsituation erreicht werden können. Allerdings zeige der Beschwerdeführer noch eine Unreife bezüglich des massiven Cannabiskonsums und ein fragliches Pflichtbe- wusstsein bezüglich der Arbeit (S. 3).</w:t>
      </w:r>
    </w:p>
    <w:p>
      <w:r>
        <w:t>Urteil des Verwaltungsgerichts des Kantons Bern vom 29. Juni 2025, IV 200 2024 814 -11- 3.1.7 Im Befundbericht der E.________ AG vom 26. Juli 2024 (act. II 179 S. 2) wurde ein positiver Befund auf Cannabinoide (Urin) festgestellt. 3.1.8 Dipl. Ärztin D.________ vom RAD führte im Bericht vom 24. Juli 2024 (act. II 177) aus, der Beschwerdeführer habe 2023 bei Dr. med. F.________ eine kombinierte psychiatrisch-psychotherapeutische Behand- lung aufgenommen. Gegenüber Dr. med. F.________ habe der Beschwer- deführer keine Veränderungsmotivation bezüglich seines Verhaltens ge- zeigt; Dr. med. F.________ habe berichtet, dass die Leistungen und die Akzeptanz am Arbeitsplatz unverändert seien. Zunehmend dominierten Verhaltensweisen, die kurzfristig als positiv erlebt würden wie Gaming und Cannabis-Konsum (S. 2).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w:t>
      </w:r>
    </w:p>
    <w:p>
      <w:r>
        <w:t>Urteil des Verwaltungsgerichts des Kantons Bern vom 29. Juni 2025, IV 200 2024 814 -12- sowie in sich widerspruchsfrei sind und keine Indizien gegen ihre Zuverläs- sigkeit bestehen (BGE 125 V 351 E. 3b ee S. 354; SVR 2022 UV Nr. 3 S. 7, 8C_131/2021 E. 3.2). Auch reine Aktengutachten können beweiskräf- tig sein, sofern ein lückenloser Befund vorliegt und es im Wesentlichen nur um die fachärztliche Beurteilung eines an sich feststehenden medizini- schen Sachverhalts geht, mithin die direkte ärztliche Befassung mit der versicherten Person in den Hintergrund rückt. Dies gilt grundsätzlich auch in Bezug auf Berichte und Stellungnahmen Regionaler Ärztlicher Dienste (SVR 2020 IV Nr. 38 S. 133, 9C_651/2019 E. 4.3). 3.3 Die vormalige Rentenzusprache vom 12. April 2024 (act. II 166) wie auch die separat erfolgte Aufforderung zur Schadenminderung vom 18. Ja- nuar 2024 (act. II 148; eine erste Aufforderung zur Mitwirkung inklusive laborkontrollierter Cannabisabstinenz erfolgte zudem bereits am 11. August 2023 [act. II 124]) erfolgten im Wesentlichen gestützt auf die RAD- Beurteilung von dipl. Ärztin D.________ vom 21. Dezember 2023 (act. II 146). Diese Beurteilung erfüllt die beweisrechtlichen Anforderungen der Rechtsprechung an versicherungsinterne medizinische Beurteilungen (vgl. E. 2.3 hiervor) und steht sowohl in diagnostischer Hinsicht als auch hinsichtlich der fachärztlichen Beurteilung der medizinisch-theoretisch zu- mutbaren Arbeitsfähigkeit in keinem ersichtlichen Widerspruch zu den übri- gen Akten. Die RAD-Ärztin hielt den gesicherten, regelmässigen und schädlichen Kon- sum von Cannabis sowie das exzessive Gamen in schädlichem Ausmass formal zwar lediglich als Verdachtsdiagnosen fest (act. II 146 S. 4), sie leg- te diesbezüglich indes überzeugend begründet dar, dass zwar keine ei- genständige krankheitswertige Suchterkrankung vorliegt, jedoch dass der bestehende Substanzkonsum in einer negativen Wechselwirkung mit den erstellten psychiatrischen Diagnosen steht und dadurch zu einer Verstär- kung der krankheitswertigen psychischen Probleme führt (vgl. act. II 146 S. 6; vgl. auch act. II 116 S. 3 f.). Dies ist ohne weiteres nachvollziehbar, insbesondere auch mit Blick darauf, dass der Beschwerdeführer – selbst entgegen der nachdrücklichen fachärztlich-therapeutischen Empfehlung (vgl. act. II 172 S. 3) – den Cannabiskonsum unter anderem im Sinne einer Selbstmedikation anstelle der ADHS-spezifischen Medikation betreibt</w:t>
      </w:r>
    </w:p>
    <w:p>
      <w:r>
        <w:t>Urteil des Verwaltungsgerichts des Kantons Bern vom 29. Juni 2025, IV 200 2024 814 -13- (act. II 116 S. 3). Der behandelnde Dr. med. F.________ diagnostizierte gar einen schädlichen Gebrauch von Cannabinoiden (ICD-10: F12.1; act. II 129) und auch die … ging von einer Mitbeteiligung des Cannabiskonsums an der verminderten Leistungsfähigkeit aus (act. II 142 S. 6 Ziff. 2.2). Zu- dem beschrieb Dr. med. F.________ Arbeitszeit- und Leistungsfähig- keitsprobleme im Zusammenhang mit dem nächtlichen Gamen (vgl. act. II 172). Dipl. Ärztin D.________ begründete weiter sowohl die – angesichts der motivational in nicht unerheblichem Masse mitbeeinflussten (subjekti- ven) Leistungsfähigkeit bei anzunehmendem sekundären Krankheitsge- winn (vgl. act. II 146 S. 5) – mindestens anzunehmende medizinisch- theoretische Arbeitsfähigkeit in einer optimal angepassten Tätigkeit und die diesbezüglich prognostisch zu erwartende Steigerung bei fortgesetzter Cannabis-Abstinenz und Reduktion des exzessiven Medienkonsums über- zeugend (act. II 146 S. 6). Überdies stimmt ihre Beurteilung namentlich überein mit dem anlässlich der beruflichen Eingliederung (vgl. dazu act. II 111, 120, 142) und auch dem im Rahmen der späteren Anstellung gezeigten Leistungsverhalten (vgl. act. II 192 S. 2). Dabei gilt es auch die der medizinischen Folgeabschätzung inhärente hohe Variabilität zu berücksichtigen (BGE 145 V 361 E. 4.1.2 S. 365). Daran ändert die auf- grund der bisherigen Abklärungen als problematisch, aus fachärztlicher Sicht indes nicht als überwiegend wahrscheinlich gesundheitsbedingt für unmöglich beurteilte Ausbildungsfähigkeit (act. II 146 S. 5) nichts, betrifft dies doch nicht die vorliegend im Zentrum stehende Frage der Zulässigkeit bzw. Zumutbarkeit der Schadenminderungsauflage. 3.4 Zu prüfen ist im Folgenden die Notwendigkeit, Eignung und Zumut- barkeit der von der Beschwerdegegnerin am 18. Januar 2024 (act. II 148) angeordneten Schadenminderungsauflage. Diese Frage ist nicht generell, sondern allein bezogen auf den konkreten Fall und in der Regel von einer sachverständigen (medizinischen) Fachperson zu beurteilen (vgl. Ent- scheid des BGer 8C_534/2021vom 18. November 2021 E. 5.2). 3.4.1 Die Schadenminderungsauflage hinsichtlich der Cannabis- Abstinenz – diejenige betreffend Aufnahme einer regelmässigen psychiatri- schen Behandlung wurde erfüllt (vgl. act. II 148 S. 1, 172) – war im Hinblick auf eine Stabilisierung des Gesundheitszustandes und eine Steigerung der</w:t>
      </w:r>
    </w:p>
    <w:p>
      <w:r>
        <w:t>Urteil des Verwaltungsgerichts des Kantons Bern vom 29. Juni 2025, IV 200 2024 814 -14- Arbeitsfähigkeit gemäss übereinstimmender fachärztlicher Beurteilung durch Dr. med. F.________ und dipl. Ärztin D.________ angezeigt (vgl. BGer 8C_534/2021 E. 5.2). Dies wird auch dadurch unterstrichen, dass Dr. med. F.________ im Bericht vom 10. Juni 2024 (act. II 172 S. 3) gar einen stationären Entzug für medizinisch indiziert, zufolge mangelnder Motivation des Beschwerdeführers aber gegenwärtig als nicht sinnvoll bezeichnete. Die erfolgte Aufforderung zur Schadenminderung unter Androhung von Sanktionen war auch deshalb erforderlich, da der Beschwerdeführer bereits zuvor zur Schadenminderung aufgefordert worden war, dem jedoch bisher keine Folge geleistet hatte (vgl. act. II 124). 3.4.2 Zudem war die Schadenminderungsauflage betreffend Suchtmittel- abstinenz, verbunden mit der Therapieaufforderung, sodann mit Blick auf die von der RAD-Ärztin beschriebene negative Wechselwirkung zu den psychischen Gesundheitsschäden (act. II 146 S. 6) geeignet, die Arbeits- fähigkeit prognostisch markant zu verbessern; dies auch vor dem Hinter- grund der vormals nicht erfolgten regelmässigen psychiatrischen Behand- lung, der unzuverlässigen Medikamenteneinnahme und der zuvor wieder- holt vom Beschwerdeführer bekundeten fehlenden Motivation zur Suchtmit- telabstinenz, auch wenn er einmalig eine grundsätzliche Gesprächsbereit- schaft gezeigt zu haben scheint (act. II 140). Zudem erscheint die von der RAD-Ärztin geschätzte Therapiedauer von rund acht Monaten (act. II 146 S. 7) angemessen. In den medizinischen Akten, insbesondere auch dem Verlaufsbericht von Dr. med. F.________ (act. II 172), finden sich keine Anhaltspunkte, die der von der RAD-Ärztin nachvollziehbar begründeten, prognostisch angenommen Steigerung der Arbeitsfähigkeit (act. II 146 S. 6) entgegen stünden. Damit bestand eine – rechtsprechungsgemäss genü- gende (vgl. Entscheid des BGer 8C_345/2022 vom 12. Oktober 2022 E. 5.4.2) – gewisse Wahrscheinlichkeit, dass unter Einhaltung der ange- ordneten Schadenminderungsauflage die prognostische Steigerung der Arbeitsfähigkeit erreicht werden kann bzw. hätte werden können. 3.4.3 Die Schadenminderungsauflage war schliesslich auch zumutbar. Die Anforderungen an die Schadenminderung im Sinne von Art. 21 Abs. 4 ATSG sind insbesondere dort streng, wo – wie hier – der Verzicht auf schadenmindernde Vorkehren Rentenleistungen perpetuiert; die Beweislast</w:t>
      </w:r>
    </w:p>
    <w:p>
      <w:r>
        <w:t>Urteil des Verwaltungsgerichts des Kantons Bern vom 29. Juni 2025, IV 200 2024 814 -15- für die Unzumutbarkeit einer medizinisch indizierten Massnahme liegt bei der versicherten Person (vgl. BGer 8C_345/2022 E. 5.4.2; zur Kasuistik vgl. zudem MEYER/REICHMUTH, Bundesgesetz über die Invalidenversiche- rung [IVG], 4. Aufl. 2022, Art. 7 - 7b N. 32). Der hinsichtlich der zu erwar- tenden Steigerung der Arbeitsfähigkeit verlangte Unterlass des fortgesetz- ten schädlichen Gebrauchs – ein Abhängigkeitssyndrom bestand bzw. be- steht nicht (act. II 146 S. 6) – von Suchtmitteln stellt dabei auch unter Berücksichtigung der übrigen psychischen Gesundheitsschäden ohne wei- teres eine zumutbare Massnahme dar. Dass der Beschwerdeführer den Nutzen der fortgesetzten Abstinenz subjektiv anders beurteilt bzw. trotz medizinischer Indikation und wiederholter Aufforderung zur diesbezügli- chen Schadenminderung nicht erkennt (vgl. Beschwerde S. 8 Rz. 17), än- dert daran nichts (vgl. ADRIAN ROTHENBERGER, in: KIE- SER/KRADOLFER/LENDFERS [Hrsg.]; Kommentar ATSG, 5. Aufl. 2024, Art. 21 N. 138). Eine krankheitsbedingte Unzumutbarkeit der Schadenminde- rungsauflage Folge zu leisten, ist entgegen dem Vorbringen des Be- schwerdeführers (Beschwerde S. 8 Rz. 16) nicht erstellt. So hat die Absti- nenz doch im Rahmen einer psychiatrischen Behandlung zu erfolgen, wel- che vom Beschwerdeführer bei Dr. med. F.________ wahrgenommen wird, und finden sich in den medizinischen Akten keine Anhaltspunkte dafür, dass dem Beschwerdeführer aufgrund der Autismus-Spektrum-Störung bzw. des ADHS die Einhaltung der Schadenminderungsauflage objektiv nicht möglich bzw. unzumutbar wäre. Der behandelnde Dr. med. F.________ führte denn auch die fehlende Abstinenz ausschliesslich auf die fehlende Motivation des Beschwerdeführers (act. II 172 S. 3) und damit IV-fremde Faktoren zurück. Der Umstand, dass aus gesundheitlichen Gründen eine allfällig weniger kritische Haltung gegenüber dem Cannabis- konsum besteht (vgl. act. II 146 S. 5, 177 S. 3, 5), ändert daran nichts, zu- mal alleine hieraus eine mit überwiegender Wahrscheinlichkeit erstellte gesundheitsbedingte Unzumutbarkeit nicht abgeleitet werden kann und überdies gerade mit Blick auf die negative Wechselwirkung der psychi- schen Gesundheitsschäden und des schädlichen Substanz- und Medien- konsums die Abstinenzaufforderung innerhalb eines therapeutischen Kon- zepts erfolgte (act. II 146 S. 6, 148 S. S. 1 f.).</w:t>
      </w:r>
    </w:p>
    <w:p>
      <w:r>
        <w:t>Urteil des Verwaltungsgerichts des Kantons Bern vom 29. Juni 2025, IV 200 2024 814 -16- 3.5 Nach dem Ausgeführten steht fest, dass dem Beschwerdeführer die Cannabisabstinenz nicht nur zumutbar, sondern im Hinblick auf die Erlan- gung einer Arbeits- und Leistungsfähigkeit von 80 % auch notwendig und geeignet ist. Demnach ist nicht zu beanstanden, dass die Beschwerdegeg- nerin vom Beschwerdeführer mit Schreiben vom 18. Januar 2024 (act. II 148) unter dem Titel "Aufforderung zur Schadenminderung" klar und unmissverständlich sowie unter Verweis auf Art. 21 Abs. 4 ATSG und die möglichen Kürzungs- bzw. Verweigerungsfolgen im Falle der Nichtbefol- gung die laborkontrollierte vollständige Suchtmittelabstinenz – insbesonde- re von Cannabis – verlangte. 3.5.1 Im Weiteren ist erstellt und wurde vom Beschwerdeführer auch ausdrücklich bestätigt (vgl. act. II 172 S. 3, 179 S. 2), dass er auch nach erfolgter Aufforderung zur Schadenminderung den Cannabiskonsum forts- etzte bzw. gar steigerte, was sich auch im entsprechenden Laborbefund niederschlug. Er hat damit die ihm obliegende Schadenminderungspflicht schuldhaft verletzt. 3.5.2 Unter Einhaltung der Schadenminderungsauflage hätte die Möglich- keit bestanden, die medizinisch-theoretische Arbeitsfähigkeit um rund 20 % auf mindestens 80 % zu steigern (vgl. E. 3.1.3 hiervor; act. II 146 S. 6) und damit die Eingliederung des Beschwerdeführers erheblich zu verbessern, indem er dann ein rentenausschliessendes Invalideneinkommen zu erzie- len in der Lage gewesen wäre. Der Beschwerdeführer ist daher unter Berücksichtigung des Verhältnismässigkeitsprinzips so zu stellen, wie wenn er seine Schadenminderungspflicht wahrgenommen hätte (vgl. BGE 119 V 250 E. 3a S. 254; BGer 8C_345/2022 E. 5.4.2). Die Aufhebung der Rente per Ende des auf die Zustellung der Verfügung vom 13. November 2024 (act. II 192) folgenden Monats gestützt auf Art. 21 Abs. 4 ATSG zufolge Verletzung der zumutbaren Schadenminderungspflicht ist gemäss nachfol- gendem Einkommensvergleich nicht zu beanstanden.</w:t>
      </w:r>
    </w:p>
    <w:p>
      <w:r>
        <w:t>Urteil des Verwaltungsgerichts des Kantons Bern vom 29. Juni 2025, IV 200 2024 814 -17- 4. 4.1</w:t>
      </w:r>
    </w:p>
    <w:p>
      <w:r>
        <w:t>4.1.1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Verordnung vom 17. Januar 1961 über die Invalidenversicherung [IVV; SR 831.201]). Kann das tatsächlich erzielte Erwerbseinkommen nicht oder nicht hinrei- chend genau bestimmt werden, so wird das Einkommen ohne Invalidität nach statistischen Werten nach Art. 25 Abs. 3 IVV für eine Person bei glei- cher Ausbildung und entsprechenden beruflichen Verhältnissen festgelegt (Art. 26 Abs. 4 IVV). Nicht massgebend ist, was sie bestenfalls verdienen könnte (BGE 135 V 58 E. 3.1 S. 59, 131 V 51 E. 5.1.2 S. 53; SVR 2021 IV Nr. 29 S. 91, 9C_472/2020 E. 2.2). Kann die versicherte Person aufgrund ihrer Invalidität keine berufliche Aus- bildung beginnen oder abschliessen, so wird das Einkommen ohne Invali- dität nach statistischen Werten nach Art. 25 Abs. 3 IVV bestimmt. In Ab- weichung von Art. 25 Abs. 3 sind geschlechtsunabhängige Werte zu ver- wenden (Art. 26 Abs. 6 IVV). 4.1.2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w:t>
      </w:r>
    </w:p>
    <w:p>
      <w:r>
        <w:t>Urteil des Verwaltungsgerichts des Kantons Bern vom 29. Juni 2025, IV 200 2024 814 -18- 4.1.3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Die statistischen Werte nach Abs. 3 sind an die betriebsübliche Ar- beitszeit nach Wirtschaftsabteilungen und an die Nominallohnentwicklung anzupassen (Art. 25 Abs. 4 IVV). Wird im Rahmen der Invaliditätsbemes- sung auf Tabellenlöhne abgestellt, so sind die aktuellsten statistischen Da- ten beizuziehen. Gemeint sind damit die im Verfügungszeitpunkt bezogen auf den Zeitpunkt des Rentenbeginns aktuellsten veröffentlichten Daten (BGE 150 V 67 E. 4.2 S. 70). Bezüglich der Anpassung an die Lohnent- wicklung ist nach Geschlechtern zu differenzieren, d.h. es ist auf den Lohnindex für Frauen oder Männer abzustellen (BGE 129 V 408; SVR 2019 IV Nr. 88 S. 296, 8C_72/2019 E. 4.1). 4.2 Die Beschwerdegegnerin berechnete gestützt auf die bereits der rentenzusprechenden Verfügung vom 12. April 2024 (act. II 166) zugrunde gelegten Vergleichseinkommen und unter Annahme einer bei Erfüllung der Schadenminderungsauflage nunmehr zumutbaren Arbeitsfähigkeit von 80 % (vgl. E. 3.5.2 hiervor) per September 2024 (acht Monate nach Auffor- derung zur Schadenminderung; act. II 148) einen rentenausschliessenden IV-Grad von 37 % (vgl. act. II 192. S. 2). Diese Berechnung ist, soweit im vorliegenden, auf die Zumutbarkeit bzw. Einhaltung der Schadenminde- rungsauflage beschränkten Verfahren (vgl. E. 1.2 hiervor; ein materieller Revisionsgrund i.S.v. Art. 17 ATSG ist nicht erstellt) überhaupt zu beurtei- len, nicht zu beanstanden, weshalb grundsätzlich darauf verwiesen werden kann. Die Beschwerdegegnerin stützte sich bei der Bemessung des Validenein- kommens auf die LSE 2022, Tabelle TA1 für Männer, Ziff. 16-18 (Herstel- lung von Holzwaren), Kompetenzniveau 2 (monatlicher Bruttolohn von Fr. 6’056.--). Soweit der Beschwerdeführer das herangezogene Validenein- kommen als unzutreffend beanstandet und in diesem Zusammenhang gel- tend macht, aufgrund der getätigten Abklärungen sei von einer insgesamt</w:t>
      </w:r>
    </w:p>
    <w:p>
      <w:r>
        <w:t>Urteil des Verwaltungsgerichts des Kantons Bern vom 29. Juni 2025, IV 200 2024 814 -19- bestehenden Frühinvalidität auszugehen und deshalb kein branchenspezi- fisches Valideneinkommen anzurechnen (Beschwerde S. 10 f. Rz. 23 ff.), ist hierauf nicht weiter einzugehen, zumal mangels entsprechenden Revisi- onsgrundes (Art. 17 Abs. 1 ATSG) keine freie Überprüfung der erwerbli- chen Berechnungsgrundlagen zu erfolgen hat. Deshalb ist vorliegend auch nicht weiter zu erörtern, ob die Anwendung des Kompetenzniveaus 2 beim Valideneinkommen gerechtfertigt war und weshalb die Beschwerdegegne- rin – zugunsten des Beschwerdeführers – auf den geschlechtsspezifischen Tabellenlohnwert abstellte (gemäss Art. 26 Abs. 6 IVV sind geschlechtsun- abhängige Werte zu verwenden; vgl. E. 4.1.1 hiervor). 4.3 Soweit in den Ausführungen des Beschwerdeführers zu den Ver- gleichseinkommen ein sinngemässes Revisionsgesuch betreffend die Ver- fügung vom 12. April 2024 (act. II 166) zu erblicken wäre (Art. 53 Abs. 1 ATSG; Beschwerde S. 9 ff. Rz. 21 ff.; zur Möglichkeit der Revision gestützt auf Art. 53 Abs. 2 ATSG vgl. E. 1.2.2 hiervor) ist dies vom angerufenen Gericht nicht zu überprüfen; hierfür zuständig wäre vielmehr die Beschwer- degegnerin (DIANA OSWALD, in: KIESER/KRADOLFER/LENDFERS [Hrsg.], Kommentar ATSG, 5. Aufl. 2024, Art. 53 N. 33).</w:t>
      </w:r>
    </w:p>
    <w:p>
      <w:r>
        <w:t>5. Nach dem Dargelegten ist die angefochtene Verfügung vom 13. November 2024 (act. II 192) im Ergebnis nicht zu beanstanden und die dagegen erho- bene Beschwerde abzuweisen, soweit darauf einzutreten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