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71 vom 7. Dezember 2023</w:t>
      </w:r>
    </w:p>
    <w:p>
      <w:r>
        <w:t>BE Verwaltungsgericht, 2023-12-07, DE</w:t>
      </w:r>
    </w:p>
    <w:p>
      <w:r>
        <w:rPr>
          <w:b/>
        </w:rPr>
        <w:t xml:space="preserve">Quelle: </w:t>
      </w:r>
      <w:r>
        <w:t>https://mcp.opencaselaw.ch/entscheid/be_verwaltungsgericht_200_2024_71</w:t>
      </w:r>
    </w:p>
    <w:p>
      <w:r>
        <w:t>FR: BE_VERWALTUNGSGERICHT 200 2024 71 du 7 décembre 2023</w:t>
      </w:r>
    </w:p>
    <w:p>
      <w:r>
        <w:t>IT: BE_VERWALTUNGSGERICHT 200 2024 71 del 7 dicembre 2023</w:t>
      </w:r>
    </w:p>
    <w:p>
      <w:pPr>
        <w:pStyle w:val="Heading2"/>
      </w:pPr>
      <w:r>
        <w:t>Regeste</w:t>
      </w:r>
    </w:p>
    <w:p>
      <w:r>
        <w:t>Zwischenentscheid vom 7. Dezember 2023</w:t>
      </w:r>
    </w:p>
    <w:p>
      <w:pPr>
        <w:pStyle w:val="Heading2"/>
      </w:pPr>
      <w:r>
        <w:t>Erwägungen</w:t>
      </w:r>
    </w:p>
    <w:p>
      <w:r>
        <w:rPr>
          <w:b/>
        </w:rPr>
        <w:t>E. 1.1</w:t>
      </w:r>
    </w:p>
    <w:p>
      <w:r>
        <w:t>Vor- und Zwischenentscheide sind Entscheide, die das Verfahren nicht abschliessen, sondern bloss eine formell- oder materiellrechtliche Frage im Hinblick auf die Verfahrenserledigung regeln, mithin einen Schritt auf dem Weg zum Endentscheid darstellen. Für die verfahrensrechtliche Qualifizierung eines angefochtenen Erkenntnisses ist nicht dessen formelle Bezeichnung entscheidend, sondern sein materieller Inhalt. Zwischenver- fügungen sind akzessorisch zu einem Hauptverfahren; sie können nur vor oder während eines Hauptverfahrens erlassen werden und nur für die Dau- er desselben Bestand haben bzw. unter der Bedingung, dass ein solches eingeleitet wird. Sie fallen mit dem Entscheid in der Hauptsache dahin (BGE 139 V 42 E. 2.3 S. 45).</w:t>
      </w:r>
    </w:p>
    <w:p>
      <w:r>
        <w:rPr>
          <w:b/>
        </w:rPr>
        <w:t>E. 1.2</w:t>
      </w:r>
    </w:p>
    <w:p>
      <w:r>
        <w:t>Das Bundesgesetz vom 6. Oktober 2000 über den Allgemeinen Teil des Sozialversicherungsrechts (ATSG; SR 830.1) ordnet die Zwischenver-</w:t>
      </w:r>
    </w:p>
    <w:p>
      <w:r>
        <w:t>Urteil des Verwaltungsgerichts des Kantons Bern vom 17. Mai 2024, ALV/24/71, Seite 4 fügung nur in einzelnen Punkten. So legt Art. 52 Abs. 1 ATSG fest, dass gegen prozess- und verfahrensleitende Verfügungen keine Einsprache erhoben werden kann. Vielmehr muss gegen Zwischenverfügungen direkt Beschwerde beim kantonalen Versicherungsgericht erhoben werden (Art. 56 Abs. 1 ATSG). Voraussetzungen für die Anfechtbarkeit werden indes keine genannt. Da sich der Verfügungsbegriff unter der Herrschaft des ATSG mangels näherer Konkretisierung nach Massgabe von Art. 5 Abs. 1 des Bundesgesetzes vom 20. Dezember 1968 über das Verwal- tungsverfahren (VwVG; SR 172.021) definiert und Art. 55 Abs. 1 ATSG auf das VwVG verweist, soweit die in den Art. 27 - 54 ATSG oder in den Ein- zelgesetzen enthaltenen Verfahrensbereiche nicht abschliessend geregelt sind, ist auch hinsichtlich der Frage, ob Zwischenverfügungen selbstständig angefochten werden können, auf das VwVG zurückzugreifen. Nach Art. 5 Abs. 2 i.V.m. Art. 46 Abs. 1 lit. a VwVG sind selbstständig eröffnete Zwi- schenverfügungen, die weder die Zuständigkeit noch ein Ausstandsbegeh- ren betreffen, nur dann selbstständig anfechtbar, wenn sie einen nicht wie- der gutzumachenden Nachteil bewirken können (BGE 132 V 93 E. 6.1 S. 106).</w:t>
      </w:r>
    </w:p>
    <w:p>
      <w:r>
        <w:rPr>
          <w:b/>
        </w:rPr>
        <w:t>E. 1.3</w:t>
      </w:r>
    </w:p>
    <w:p>
      <w:r>
        <w:t>Nach der Rechtsprechung beurteilt sich das Vorliegen eines nicht wieder gutzumachenden Nachteils nicht nur anhand eines einzigen Kriteri- ums. Vielmehr prüft das Gericht jenes Merkmal, das der angefochtenen Verfügung am besten entspricht. Namentlich beschränkt sich das Gericht nicht nur darauf, allein den Nachteil als nicht wieder gutzumachend zu be- trachten, den auch ein für die Beschwerde führende Person günstiges En- durteil nicht vollständig zu beseitigen vermöchte (BGE 131 V 362 E. 3.1 S. 369). Der nicht wiedergutzumachende Nachteil i.S.v. Art. 46 Abs. 1 lit. a VwVG muss nicht rechtlicher Natur sein, vielmehr reicht auch ein rein tatsächliches, insbesondere wirtschaftliches Interesse (BGE 125 II 613 E. 2a S. 620; vgl. auch Entscheid des Bundesgerichts [BGer] vom 12. April 2010, 9C_45/2010, E. 1.1).</w:t>
      </w:r>
    </w:p>
    <w:p>
      <w:r>
        <w:rPr>
          <w:b/>
        </w:rPr>
        <w:t>E. 1.4</w:t>
      </w:r>
    </w:p>
    <w:p>
      <w:r>
        <w:t>Urteil des Verwaltungsgerichts des Kantons Bern vom 17. Mai 2024, ALV/24/71, Seite 5</w:t>
      </w:r>
    </w:p>
    <w:p>
      <w:r>
        <w:rPr>
          <w:b/>
        </w:rPr>
        <w:t>E. 1.4.1</w:t>
      </w:r>
    </w:p>
    <w:p>
      <w:r>
        <w:t>Angefochten ist der Zwischenentscheid des AVA vom 7. Dezember 2023 (act. IIC 20-22). Streitig und zu prüfen ist die Sistierung des arbeitslo- senversicherungsrechtlichen Einspracheverfahrens (hinsichtlich der mit Verfügung vom 6. Oktober 2023 abgelehnten Anspruchsberechtigung auf Arbeitslosenentschädigung ab dem 1. August 2023; act. IIC 72-75) bis zur rechtskräftigen Beurteilung der arbeitsrechtlichen Streitigkeit (hinsichtlich Lohnfortzahlung im Krankheitsfall und Auflösung des Arbeitsverhältnisses) des Beschwerdeführers. Soweit in diesem Zusammenhang materielle An- träge gestellt werden (Beschwerde S. 2 Rechtsbegehren Ziff. 1 zweiter Teilsatz), ist darauf von vornherein nicht einzutreten (eine gerichtliche Prü- fung dieses Punktes wäre erst bei Anfechtung des entsprechenden Ein- spracheentscheids möglich).</w:t>
      </w:r>
    </w:p>
    <w:p>
      <w:r>
        <w:rPr>
          <w:b/>
        </w:rPr>
        <w:t>E. 1.4.2</w:t>
      </w:r>
    </w:p>
    <w:p>
      <w:r>
        <w:t>Beim angefochtenen Entscheid handelt es sich um eine Zwischen- verfügung (vgl. E. 1.1 hiervor), die weder die Zuständigkeit noch ein Ausstandsbegehren betrifft, weshalb sie grundsätzlich nur anfechtbar ist, wenn sie einen nicht wieder gutzumachenden Nachteil bewirken kann (vgl. E. 1.2 hiervor). Dass die Sistierung des Einspracheverfahrens eine Verlet- zung des Beschleunigungsverbots darstelle, in welchem Fall das Eintreten keinen nicht wieder gutzumachenden Nachteil erforderte (Entscheid des BGer vom 15. Januar 2021, 9C_522/2020, E. 3.1), rügt der Beschwerde- führer nicht. Die zeitliche Verzögerung als Folge der vorläufigen Einstellung des Ein- spracheverfahrens allein stellt insbesondere dann keinen nicht wieder gut- zumachenden Nachteil dar, wenn die Sistierung im Hinblick auf den Ab- schluss anderer hängiger Prozesse (hier der hängigen arbeitsrechtlichen Beschwerdeverfahren hinsichtlich des Anspruchs auf Lohnzahlung [vgl. act. IIB 113-135 und act. IIC 105-113] und der Auflösung des Arbeitsver- hältnisses [act. IIB 3-5; act. IIC 133 f.]) erfolgt, deren Ausgang für die Beur- teilung des Falles von Bedeutung ist (BGE 131 V 362 E. 3.2 S. 369; Ent- scheide des BGer vom 25. September 2020, 9C_378/2020, E. 3.2 und vom 16. März 2015, 8C_581/2014, E. 5.2, in: SVR 2015 ALV Nr. 9 S. 25).</w:t>
      </w:r>
    </w:p>
    <w:p>
      <w:r>
        <w:rPr>
          <w:b/>
        </w:rPr>
        <w:t>E. 1.4.3</w:t>
      </w:r>
    </w:p>
    <w:p>
      <w:r>
        <w:t>Beim Entscheid, ob eine Sistierung des Verfahrens sinnvoll und angebracht ist, verfügt die Behörde über ein breites Ermessen, in das die</w:t>
      </w:r>
    </w:p>
    <w:p>
      <w:r>
        <w:t>Urteil des Verwaltungsgerichts des Kantons Bern vom 17. Mai 2024, ALV/24/71, Seite 6 Gerichte nicht ohne Not eingreifen (Entscheid des BGer vom 4. Februar 2013, 9C_994/2012, E. 3.2).</w:t>
      </w:r>
    </w:p>
    <w:p>
      <w:r>
        <w:rPr>
          <w:b/>
        </w:rPr>
        <w:t>E. 1.4.4</w:t>
      </w:r>
    </w:p>
    <w:p>
      <w:r>
        <w:t>Als Voraussetzung des Anspruchs auf Arbeitslosenentschädigung verlangt Art. 8 Abs. 1 lit. e AVIG u.a. die Erfüllung der Beitragszeit (Art. 13 AVIG) oder das Vorliegen eines diesbezüglichen Befreiungsgrun- des (Art. 14 AVIG). Die Beitragszeit hat laut Art. 13 Abs. 1 AVIG erfüllt, wer innerhalb der dafür vorgesehenen Rahmenfrist für die Beitragszeit während mindestens zwölf Monaten eine beitragspflichtige Beschäftigung ausgeübt hat. Angerechnet werden gemäss Abs. 2 unter anderem auch Zeiten, in denen die versicherte Person zwar in einem Arbeitsverhältnis steht, aber wegen Krankheit (Art. 3 ATSG) oder Unfalls (Art. 4 ATSG) keinen Lohn erhält und daher keine Beiträge bezahlt (Art. 13 Abs. 1 lit. c AVIG). Die Rahmenfrist für die Beitragszeit beginnt zwei Jahre vor dem Tag, für den sämtliche Anspruchsvoraussetzungen erfüllt sind (Art. 9 Abs. 3 i.V.m. Abs. 2 AVIG). Von der Erfüllung der Beitragszeit befreit ist sodann gemäss Art. 14 Abs. 1 AVIG unter anderem, wer innerhalb der Rahmenfrist für die Beitragszeit während insgesamt mehr als zwölf Monaten wegen Krankheit (Art. 3 ATSG), Unfall (Art. 4 ATSG) oder Mutterschaft (Art. 5 ATSG) nicht in einem Arbeitsverhältnis stand und deshalb die Beitragszeit nicht erfüllen konnte, sofern während dieser Zeit Wohnsitz in der Schweiz bestand (Art. 14 Abs. 1 lit. b AVIG). Die Befreiungstatbestände von Art. 14 Abs. 1 AVIG sind im Verhältnis zur Beitragszeit subsidiär. Sie gelangen daher nur zur Anwendung, wenn die in Art. 13 Abs.1 AVIG verlangte Erfüllung der Mindestbeitragszeit aus den in Art. 14 Abs. 1 AVIG genannten Gründen nicht möglich ist (BGE 141 V 674 E. 2.1 S. 676).</w:t>
      </w:r>
    </w:p>
    <w:p>
      <w:r>
        <w:rPr>
          <w:b/>
        </w:rPr>
        <w:t>E. 1.4.5</w:t>
      </w:r>
    </w:p>
    <w:p>
      <w:r>
        <w:t>Die Beschwerdegegnerin hat in der mit Einsprache angefochtenen Verfügung vom 6. Oktober 2023 die Rahmenfrist für die Beitragszeit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