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705 vom 24. März 2025</w:t>
      </w:r>
    </w:p>
    <w:p>
      <w:r>
        <w:t>BE Verwaltungsgericht, 2025-03-24, DE</w:t>
      </w:r>
    </w:p>
    <w:p>
      <w:r>
        <w:rPr>
          <w:b/>
        </w:rPr>
        <w:t xml:space="preserve">Quelle: </w:t>
      </w:r>
      <w:r>
        <w:t>https://mcp.opencaselaw.ch/entscheid/be_verwaltungsgericht_200_2024_705</w:t>
      </w:r>
    </w:p>
    <w:p>
      <w:r>
        <w:t>FR: BE_VERWALTUNGSGERICHT 200 2024 705 du 24 mars 2025</w:t>
      </w:r>
    </w:p>
    <w:p>
      <w:r>
        <w:t>IT: BE_VERWALTUNGSGERICHT 200 2024 705 del 24 marzo 2025</w:t>
      </w:r>
    </w:p>
    <w:p>
      <w:pPr>
        <w:pStyle w:val="Heading2"/>
      </w:pPr>
      <w:r>
        <w:t>Regeste</w:t>
      </w:r>
    </w:p>
    <w:p>
      <w:r>
        <w:t>Verfügung vom 18. September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18. September 2024 (act. II 174).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In formeller Hinsicht wird vorab eine Verletzung des rechtlichen Gehörs geltend gemacht, indem beanstandet wird, die Beschwerdegegne-</w:t>
      </w:r>
    </w:p>
    <w:p>
      <w:r>
        <w:t>Urteil des Verwaltungsgerichts des Kantons Bern vom 24. März 2025, IV 200 2024 705 -5- rin habe "hinter dem Rücken" der Beschwerdeführerin bei den Gutachtern um eine Stellungnahme bzw. eine Ergänzung und somit Verbesserung des Gutachtens ersucht (Beschwerde S. 11 Ziff. III lit. B Ziff. 6). 2.2 Der in Art. 29 Abs. 2 der Bundesverfassung (BV; SR 101) garantier- te Anspruch auf rechtliches Gehör räumt dem Betroffenen das persönlich- keitsbezogene Mitwirkungsrecht ein, erhebliche Beweise beizubringen, mit solchen Beweisanträgen gehört zu werden und an der Erhebung wesentli- cher Beweise mitzuwirken. Dem Mitwirkungsrecht entspricht die Pflicht der Behörden, die Argumente und Verfahrensanträge der Parteien entgegen- zunehmen und zu prüfen, sowie die ihr rechtzeitig und formrichtig angebo- tenen Beweismittel abzunehmen (BGE 138 V 125 E. 2.1 S. 127; SVR 2016 BVG Nr. 6 S. 23, 9C_634/2014 E. 6.1.1). Der Versicherungsträger, der ei- ner Gutachterin oder einem Gutachter Erläuterungs- oder Ergänzungsfra- gen zu stellen gedenkt, hat die versicherte Person vorgängig darüber zu informieren und ihr Gelegenheit zu geben, auch ihrerseits solche Fragen zu stellen. Dies gilt auch in Verfahren, die mittels durch Einsprache anfechtba- re Verfügung abgeschlossen werden (BGE 136 V 113 E. 5.4 S. 116; SVR 2019 IV Nr. 93 S. 313, 9C_162/2019, 9C_191/2019 E. 5.3.3.2). 2.3 Soweit die Verwaltung die Sachverständigen mit der im Verwaltungsverfahren seitens einer versicherten Person erhobenen Kritik konfrontiert und sie – ohne sie vorgängig nochmals anzuhören – um eine diesbezügliche Stellungnahme ersucht, ist darin grundsätzlich keine Gehörsverletzung zu erblicken. Denn dabei stellt die Verwaltung keine eigenen Ergänzungsfragen und die Mitwirkungsrechte der versicherten Person bleiben dadurch gewahrt, dass sie sich nach dem Vorliegen der gutachterlichen Stellungnahme erneut zum Beweisergebnis äussern kann. Auch vorliegend stellte die Beschwerdegegnerin den Gutachtern keine Ergänzungsfragen und erliess nach Eingang der Stellungnahme der MEDAS vom 12. Juni 2024 (act. II 168 S. 1 ff.) einen neuen Vorbescheid (act. II 169). Das von der Beschwerdeführerin als "schlicht inakzeptabel" bezeichnete Vorgehen (Beschwerde S. 11 Ziff. III lit. B Ziff. 6) ist somit in keiner Weise zu beanstanden und die Stellungnahme der MEDAS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12</w:t>
      </w:r>
    </w:p>
    <w:p>
      <w:r>
        <w:t>Juni 2024 (act. II 168 S. 1 ff.) nicht "formal aus den Akten zu weisen" (Beschwerde S. 12 Ziff. III lit. B Ziff. 6). Im Übrigen bemängelte die</w:t>
      </w:r>
    </w:p>
    <w:p>
      <w:r>
        <w:t>Urteil des Verwaltungsgerichts des Kantons Bern vom 24. März 2025, IV 200 2024 705 -6- anwaltlich vertretene Beschwerdeführerin in ihrem Einwand gegen den Vorbescheid vom 12. Juli 2024 (act. II 169) zwar die Gehörsverletzung (act. II 172 S. 10 Ziff. 6), verzichtete jedoch darauf, Fragen zu stellen und deren Unterbreitung an die Gutachter einzufordern. Sodann ist – entgegen der Ansicht in der Beschwerde (S. 11 f. Ziff. III lit. B Ziff. 6) – ebenfalls nicht zu beanstanden, dass die Beschwerdegegnerin nach Eingang der Einwände vom 17. April respektive 13. Mai 2024 (act. II 161, 166) eine Stellungnahme bei denselben Gutachtern einholte, und das Dossier nicht einer anderen Gutachterstelle vorlegte. Was die Beschwerdeführerin aus dem in der Beschwerde genannten Urteil des Bundesgerichts (BGer) 9C_273/2009 vom 14. September 2009 zu ihren Gunsten ableiten will, ist nicht nachvollziehbar. Vielmehr wurde darin gerade bestätigt, dass keine Besorgnis der Voreingenommenheit besteht, wenn dieselben Gutachter ihr Gutachten – wie vorliegend – lediglich erklären respektive erläutern (E. 3.4). 3. 3.1 Am 1. Januar 2022 sind die Änderungen vom 19. Juni 2020 des IVG (Weiterentwicklung der IV) und weiterer Erlasse (insbesondere der Verord- nung vom 17. Januar 1961 über die Invalidenversicherung [IVV; SR 831.201] und des ATSG) in Kraft getreten (AS 2021 705). In zeitlicher Hinsicht sind – vorbehältlich besonderer übergangsrechtlicher Regelun- gen – grundsätzlich diejenigen Rechtssätze massgeblich, die bei der Erfül- lung des rechtlich zu ordnenden oder zu Rechtsfolgen führenden Tatbe- standes Geltung haben (BGE 150 V 323 E. 4.2 S. 328, 89 E. 3.2.1 S. 95, 148 V 162 E. 3.2.1 S. 166, 144 V 210 E. 4.3.1 S. 213). Die angefochtene Verfügung datiert vom 18. September 2024 (act. II 174), womit sie nach dem Inkrafttreten der IVG-Änderung vom 19. Juni 2020 erging. Indessen liegt der frühestmögliche Zeitpunkt der potentiellen Entstehung des Ren- tenanspruchs mit Blick auf die Neuanmeldung vom Juli 2020 (act. II 59) sowie die sechsmonatige Karenzfrist nach Art. 29 Abs. 1 IVG vor dem 1. Januar 2022 (vgl. E. 6.2 hiernach), weshalb die Bestimmungen des IVG, der IVV und des ATSG in der bis 31. Dezember 2021 gültigen Fassung</w:t>
      </w:r>
    </w:p>
    <w:p>
      <w:r>
        <w:t>Urteil des Verwaltungsgerichts des Kantons Bern vom 24. März 2025, IV 200 2024 705 -7- (fortan: aArt.) massgebend sind (Rz. 9100 f. des Kreisschreibens des Bun- desamts für Sozialversicherungen [BSV] über Invalidität und Rente in der Invalidenversicherung [KSIR]; zur Bedeutung von Verwaltungsweisungen: vgl. BGE 150 V 1 E. 6.4.2 S. 6, 148 V 385 E. 5.2 S. 391, 147 V 79 E. 7.3.2 S. 82, 146 V 224 E. 4.4.2 S. 228). 3.2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3.3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Der Rentenanspruch entsteht gemäss Art. 29 Abs. 1 IVG frühestens nach Ablauf von sechs Monaten nach Geltendmachung des Leistungsanspruchs nach Art. 29 Abs. 1 ATSG. 3.4 3.4.1 Ändert sich der Invaliditätsgrad einer Rentenbezügerin oder eines Rentenbezügers erheblich, so wird die Rente von Amtes wegen oder auf Gesuch hin für die Zukunft entsprechend erhöht, herabgesetzt oder aufge- hoben (aArt. 17 Abs. 1 ATSG).</w:t>
      </w:r>
    </w:p>
    <w:p>
      <w:r>
        <w:t>Urteil des Verwaltungsgerichts des Kantons Bern vom 24. März 2025, IV 200 2024 705 -8- 3.4.2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I 822/06 E. 2.1). 3.4.3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109, 8C_280/2020 E. 3.1).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 3.4.4 Liegt eine erhebliche Änderung des Sachverhalts vor, ist der Ren- tenanspruch in rechtlicher und tatsächlicher Hinsicht allseitig, d.h. unter Berücksichtigung des gesamten für die Leistungsberechtigung ausschlag-</w:t>
      </w:r>
    </w:p>
    <w:p>
      <w:r>
        <w:t>Urteil des Verwaltungsgerichts des Kantons Bern vom 24. März 2025, IV 200 2024 705 -9- gebenden Tatsachenspektrums, neu und ohne Bindung an frühere Invali- ditätsschätzungen zu prüfen (BGE 141 V 9 E. 2.3 S. 11, 117 V 198 E. 4b S. 200; SVR 2021 IV Nr. 36 S. 109, 8C_280/2020 E. 3.1). 4. 4.1 Seit der Verfügung vom 27. September 2011 (act. II 58) ist mit den neu aufgetretenen Beschwerden bzw. Erkrankungen (vgl. act. II 151.1 S. 12 f. Ziff. 4.9) ein medizinischer Neuanmeldungsgrund unbestrittener- massen ausgewiesen (vgl. zum Beweiswert der Expertise E. 4.4 hiernach). Dementsprechend ist der Rentenanspruch in rechtlicher und tatsächlicher Hinsicht allseitig neu zu prüfen (vgl. E. 3.4.4 hiervor). 4.2 In Bezug auf die Aktenlage zum Zeitpunkt der Verfügung vom 27. September 2011 (act. II 58) sowie zum Zeitpunkt der Verfügung vom 11. Februar 2022 (act. II 112) ist auf VGE IV 200 2022 152 E. 3.2 f. (act. II 123 S. 7 ff.) zu verweisen. Den nach dem Rückweisungsentscheid eingeholten medizinischen Akten ist im Wesentlichen was folgt zu entneh- men: 4.2.1 Im MEDAS-Gutachten vom 2. Oktober 2023 (act. II 151.1 ff.) stellten die Experten in der interdisziplinären Gesamtbeurteilung die folgenden Diagnosen (act. II 151.1 S. 10 Ziff. 4.3.1 f.): mit Einfluss auf die Arbeitsfähigkeit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