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628 vom 18. Juli 2025</w:t>
      </w:r>
    </w:p>
    <w:p>
      <w:r>
        <w:t>BE Verwaltungsgericht, 2025-07-18, DE</w:t>
      </w:r>
    </w:p>
    <w:p>
      <w:r>
        <w:rPr>
          <w:b/>
        </w:rPr>
        <w:t xml:space="preserve">Quelle: </w:t>
      </w:r>
      <w:r>
        <w:t>https://mcp.opencaselaw.ch/entscheid/be_verwaltungsgericht_200_2024_628</w:t>
      </w:r>
    </w:p>
    <w:p>
      <w:r>
        <w:t>FR: BE_VERWALTUNGSGERICHT 200 2024 628 du 18 juillet 2025</w:t>
      </w:r>
    </w:p>
    <w:p>
      <w:r>
        <w:t>IT: BE_VERWALTUNGSGERICHT 200 2024 628 del 18 luglio 2025</w:t>
      </w:r>
    </w:p>
    <w:p>
      <w:pPr>
        <w:pStyle w:val="Heading2"/>
      </w:pPr>
      <w:r>
        <w:t>Regeste</w:t>
      </w:r>
    </w:p>
    <w:p>
      <w:r>
        <w:t>Verfügung vom 9. August 2024</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69 Abs. 1 lit. a des Bundesgesetzes vom 19. Juni 1959 über die Invalidenversicherung [IVG; SR 831.20]). Da unter Berücksichtigung des Fristenstillstandes auch die Bestimmungen über Frist (Art. 60 ATSG i.V.m. Art. 38 Abs. 4 lit. b ATSG) sowie Form (Art. 61 lit. b ATSG; Art. 81 Abs. 1 i.V.m. Art. 32 des kantonalen Gesetzes vom 23. Mai 1989 über die Verwal- tungsrechtspflege [VRPG; BSG 155.21]) eingehalten sind, ist auf die Be- schwerde einzutreten.</w:t>
      </w:r>
    </w:p>
    <w:p>
      <w:r>
        <w:rPr>
          <w:b/>
        </w:rPr>
        <w:t>E. 1.2</w:t>
      </w:r>
    </w:p>
    <w:p>
      <w:r>
        <w:t>Anfechtungsobjekt bildet die Verfügung vom 9. August 2024 (act. II 129). In anfechtungs- und streitgegenständlicher Hinsicht liegt ein Rechtsverhältnis vor, wenn rückwirkend eine abgestufte und/oder befristete Invalidenrente zugesprochen wird. Wird nur die Abstufung oder die Befris- tung der Leistungen angefochten, wird damit die richterliche Überprüfungs- befugnis nicht in dem Sinne eingeschränkt, dass die unbestritten gebliebe- nen Rentenbezugszeiten von der richterlichen Prüfung ausgenommen blie-</w:t>
      </w:r>
    </w:p>
    <w:p>
      <w:r>
        <w:t>Urteil des Verwaltungsgerichts des Kantons Bern vom 18. Juli 2025, IV 200 2024 628 -5- ben (BGE 125 V 413; SVR 2019 IV Nr. 332, S. 99, 9C_431/2018 E. 3.2; AHI 2001 S. 278 E. 1a). Folglich ist der Anspruch auf eine Invalidenrente – unter Einschluss der grundsätzlich unbestritten gebliebenen Zusprechung einer ganzen Rente ab 1. November 2021 befristet bis 31. Mai 2023 (vgl. Beschwerde S: 2 Ziff. 1) – zu prüfen und dabei insbesondere, ob die ganze Rente zu Recht per Ende Mai 2023 aufgehoben wurde.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rPr>
          <w:b/>
        </w:rPr>
        <w:t>E. 2.1</w:t>
      </w:r>
    </w:p>
    <w:p>
      <w:r>
        <w:t>Vorab macht die Beschwerdeführerin in formeller Hinsicht eine Ver- letzung des rechtlichen Gehörs (Verletzung der Aktenführungspflicht und des Akteneinsichtsrechts, eine unvollständige Eröffnung der Verfügung vom 9. August 2024 [act. II 129]) geltend (Beschwerde S. 5 ff. Ziff. 17 ff.).</w:t>
      </w:r>
    </w:p>
    <w:p>
      <w:r>
        <w:rPr>
          <w:b/>
        </w:rPr>
        <w:t>E. 2.2.1</w:t>
      </w:r>
    </w:p>
    <w:p>
      <w:r>
        <w:t>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(vgl. Art. 47 Abs. 1 lit. a ATSG sowie BGE 140 V 464 E. 4.1 S. 467; zur Ak- tenführungspflicht vgl. Art. 47 Abs. 1 lit. a ATSG, BGE 138 V 218 E. 8.1.2 S. 223 sowie SVR 2022 ALV Nr. 27 S. 97, 8C_545/2021), mit erheblichen Beweisanträgen gehört zu werden und an der Erhebung wesentlicher Be- weise entweder mitzuwirken oder sich zumindest zum Beweisergebnis zu äussern, wenn dieses geeignet ist, den Entscheid zu beeinflussen. Der</w:t>
      </w:r>
    </w:p>
    <w:p>
      <w:r>
        <w:t>Urteil des Verwaltungsgerichts des Kantons Bern vom 18. Juli 2025, IV 200 2024 628 -6- Anspruch auf rechtliches Gehör umfasst als Mitwirkungsrecht somit alle Befugnisse, die einer Partei einzuräumen sind, damit sie in einem Verfah- ren ihren Standpunkt wirksam zur Geltung bringen kann (BGE 143 V 71 E. 4.1 S. 72; SVR 2024 BVG Nr. 23 S. 79, 9C_437/2023 E. 5.2).</w:t>
      </w:r>
    </w:p>
    <w:p>
      <w:r>
        <w:rPr>
          <w:b/>
        </w:rPr>
        <w:t>E. 2.2.2</w:t>
      </w:r>
    </w:p>
    <w:p>
      <w:r>
        <w:t>Die Verfügungen sind zu begründen, wenn sie den Begehren der Parteien nicht voll entsprechen (Art. 49 Abs. 3 ATSG). Die Begründungspflicht ist wesentlicher Bestandteil des Anspruchs auf rechtliches Gehör im Sinne von Art. 29 Abs. 2 BV. Sie soll verhindern, dass sich die Behörde von unsachlichen Motiven leiten lässt, und den Betroffe- nen ermöglichen, die Verfügung gegebenenfalls sachgerecht anzufechten. Dies ist nur möglich, wenn sowohl die betroffene Person als auch die Rechtsmittelinstanz sich über die Tragweite des Entscheids ein Bild ma- chen können. In diesem Sinne müssen wenigstens kurz die Überlegungen genannt werden, von denen sich die Behörde hat leiten lassen und auf wel- 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S. 236, 124 V 180 E. 1a S. 181; in BGE 151 III 143 nicht publizierte Erwägung 8.2 des Urteils des Bundesgerichts [BGer] 9C_717/2023 vom</w:t>
      </w:r>
    </w:p>
    <w:p>
      <w:r>
        <w:rPr>
          <w:b/>
        </w:rPr>
        <w:t>E. 2.2.3</w:t>
      </w:r>
    </w:p>
    <w:p>
      <w:r>
        <w:t>Nach der Rechtsprechung kann eine nicht besonders schwerwie- gende Verletzung des rechtlichen Gehörs als geheilt gelten, wenn die be- troffene Person die Möglichkeit erhält, sich vor einer Beschwerdeinstanz zu</w:t>
      </w:r>
    </w:p>
    <w:p>
      <w:r>
        <w:t>Urteil des Verwaltungsgerichts des Kantons Bern vom 18. Juli 2025, IV 200 2024 628 -7- äussern, die sowohl den Sachverhalt wie auch die Rechtslage frei überprü- fen kann. Die Heilung eines allfälligen Mangels soll aber die Ausnahme bleiben (BGE 137 I 195 E. 2.3.2 S. 197, 126 V 130 E. 2b S. 132; SVR 2021 IV Nr. 43 S. 139, 9C_555/2020 E. 4.4.1, 2020 IV Nr. 57 S. 193, 8C_25/2020 E. 3.3.1).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SVR 2021 IV Nr. 43 S. 139, 9C_555/2020 E. 4.4.1, 2020 IV Nr. 57 S. 193, 8C_25/2020 E. 3.3.1).</w:t>
      </w:r>
    </w:p>
    <w:p>
      <w:r>
        <w:rPr>
          <w:b/>
        </w:rPr>
        <w:t>E. 2.3</w:t>
      </w:r>
    </w:p>
    <w:p>
      <w:r>
        <w:t>Der Beschwerdeführerin wurden auf diverse Anfragen hin (act. II 83, 86, 110, 124) wiederholt die Verwaltungsakten zugestellt (act. II 85, 88, 111, 125). Unvollständige Zustellungen wurden dabei korrigiert (act. II 113 f.). Eine Verletzung der Aktenführungspflicht wie auch des Ak- teneinsichtsrechts (E. 2.2.1 hiervor; vgl. auch Beschwerde S. 5 ff. Ziff. 17 ff.) ist unter diesen Umständen nicht ersichtlich; die fehlerhafte Kommunikation zwischen dem vormaligen und dem nachbetreuenden Hausarzt der Beschwerdeführerin (vgl. dazu Beschwerde S. 5 f. Rz. 19 ff.) ändern daran nichts – diese hatte nicht die Beschwerdegegnerin zu verant- worten. Weiter rügt die Beschwerdeführerin, indem sie vorbringt, ihr sei zwar die Verfügung vom 9. August 2024 (act. II 129), nicht aber die RAD-Stellung- nahme vom 7. Juni 2024 (act. II 120), welche in der Verfügung als integrie- render Bestandteil derselben bezeichnet worden sei, zugestellt worden (Beschwerde S. 7 Ziff. 31 ff.), eine Verletzung der Begründungspflicht. Dies wird von der Beschwerdegegnerin nicht bestritten und hat mangels gegen- teiligen Hinweisen in den Akten als erstellt zu gelten. Damit wurde die Ver- fügung vom 9. August 2024 unvollständig und mangelhaft eröffnet. Die Be- schwerdeführerin reagierte daraufhin umgehend und wies die Beschwerde- gegnerin mit Schreiben vom 12. August 2024 (act. II 124) auf den Mangel</w:t>
      </w:r>
    </w:p>
    <w:p>
      <w:r>
        <w:t>Urteil des Verwaltungsgerichts des Kantons Bern vom 18. Juli 2025, IV 200 2024 628 -8- hin. Die Beschwerdegegnerin stellte der Beschwerdeführerin in der Folge lediglich die verlangten Akten zu (act. II 125), reagierte jedoch ansonsten nicht auf die Eingabe vom 12. August 2024. Die vollständige Verfügung vom 9. August 2024 wurde der Beschwerdeführerin erst im Verlauf des Beschwerdeverfahrens im Oktober 2024 (act. II 129) zugestellt und sie konnte sich hierzu im Rahmen eines zweiten Schriftenwechsels vor dem Verwaltungsgericht erneut dazu äussern, was sie denn auch tat (vgl. Replik vom 27. Dezember 2024). Die Rechtsvertreterin vermochte im Übrigen be- reits zuvor ohne erkennbare massgebende Erschwernisse eine umfassen- de Beschwerde zu verfassen und einzureichen. Die vorerst erfolgte man- gelhafte Eröffnung bzw. Begründung der Verfügung kann unter diesen Um- ständen als geheilt betrachtet werden. Anders zu entscheiden, würde letzt- lich zu einem formalistischen Leerlauf führen (vgl. E. 2.2.3 hiervor).</w:t>
      </w:r>
    </w:p>
    <w:p>
      <w:r>
        <w:rPr>
          <w:b/>
        </w:rPr>
        <w:t>E. 2.4</w:t>
      </w:r>
    </w:p>
    <w:p>
      <w:r>
        <w:t>Zusammenfassend haben damit die geltend gemachten Verletzun- gen des rechtlichen Gehörs als nicht erstellt (Akteneinsichts-/Aktenfüh- rungsrecht, Begründungspflicht) bzw. geheilt (Begründungspflicht) zu gel- ten. 3. 3.1 Am 1. Januar 2022 sind die Änderungen vom 19. Juni 2020 des IVG (Weiterentwicklung der IV [WEIV]) und weiterer Erlasse, insbesondere des ATSG und der Verordnung vom 17. Januar 1961 über die Invalidenversi- cherung (IVV; SR 831.201),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Die Anmeldung zum Rentenbezug erfolgte im Mai 2021 (act. II 1), womit ein Rentenanspruch frühestens im November 2021 entstanden sein kann (Art. 29 Abs. 1 IVG). Demnach ist nach der bis zum 31. Dezember 2021 geltenden Rechtslage (aArt.) zu beurteilen, ob bis zu diesem Zeit- punkt ein Rentenanspruch entstanden ist. Trifft dies zu, so erfolgt ein allfäl- liger Wechsel zum neuen stufenlosen Rentensystem je nach Alter der Ren-</w:t>
      </w:r>
    </w:p>
    <w:p>
      <w:r>
        <w:t>Urteil des Verwaltungsgerichts des Kantons Bern vom 18. Juli 2025, IV 200 2024 628 -9- tenbezügerin oder des Rentenbezügers gemäss lit. b und c der Übergangs- bestimmungen des IVG zur Änderung vom 19. Juni 2020 (Urteil des BGer 8C_608/2022 vom 16. Mai 2023 E. 3.1). Gemäss lit. b Abs. 1 der Überg- angsbestimmungen bleibt für Rentenbezügerinnen und -bezüger, deren Rentenanspruch vor Inkrafttreten dieser Änderung entstanden ist und die bei Inkrafttreten dieser Änderung das 55. Altersjahr noch nicht vollendet ha- ben, der bisherige Rentenanspruch so lange bestehen, bis sich der Invali- ditätsgrad nach Art. 17 Abs. 1 ATSG ändert. Mit der per Oktober 2022 vom RAD beschriebenen Verbesserung bzw. Stabilisierung des Gesundheitszu- standes (act. II 55/12 vgl. E. 4.3 f. hiernach) ist ein Revisionsgrund im Sin- ne von Art. 17 Abs. 1 ATSG ausgewiesen und damit kommt ab diesem Zeitpunkt das seit 1. Januar 2022 geltende Recht zur Anwendung (vgl. auch Rz. 9102 des Kreisschreibens des Bundesamtes für Sozialversiche- rungen [BSV] über Invalidität und Rente in der Invalidenversicherung [KSIR]; zur Bedeutung von Verwaltungsweisungen vgl. BGE 150 V 1 E. 6.4.2 S. 6, 148 V 385 E. 5.2 S. 391, 147 V 79 E. 7.3.2 S. 82, 146 V 224 E. 4.4.2 S. 228). 3.2 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 3.3 Nach Art. 28 Abs. 1 IVG haben Versicherte Anspruch auf eine Ren- te, wenn sie ihre Erwerbsfähigkeit oder die Fähigkeit, sich im Aufgabenbe- reich zu betätigen, nicht durch zumutbare Eingliederungsmassnahmen wieder herstellen, erhalten oder verbessern können (lit. a), während eines</w:t>
      </w:r>
    </w:p>
    <w:p>
      <w:r>
        <w:t>Urteil des Verwaltungsgerichts des Kantons Bern vom 18. Juli 2025, IV 200 2024 628 -10- Jahres ohne wesentlichen Unterbruch durchschnittlich mindestens 40 % ar- beitsunfähig (Art. 6 ATSG) gewesen sind (lit. b) und nach Ablauf dieses Jahres zu mindestens 40 % invalid (Art. 8 ATSG) sind (lit. c). Gemäss aArt. 28 Abs. 2 IVG (in der bis 31. Dezember 2021 gültig gewese- nen Fassung) besteht der Anspruch auf eine ganze Rente, wenn die versi- cherte Person mindestens 70 %, derjenige auf eine Dreiviertelsrente, wenn sie mindestens 60 % invalid ist. Bei einem Invaliditätsgrad von mindestens 50 % besteht Anspruch auf eine halbe Rente und bei einem Invaliditätsgrad von mindestens 40 % ein solcher auf eine Viertelsrente. Gemäss Art. 28b Abs. 1 IVG (in Kraft seit dem 1. Januar 2022) wird die Hö- he des Rentenanspruchs in prozentualen Anteilen an einer ganzen Rente festgelegt. Bei einem Invaliditätsgrad von 50 bis 69 % entspricht der pro- zentuale Anteil dem Invaliditätsgrad (Art. 28b Abs. 2 IVG), bei einem Invali- ditätsgrad ab 70 % besteht Anspruch auf eine ganze Rente (Art. 28b Abs. 3 IVG). Bei einem Invaliditätsgrad zwischen 40 und 49 % gelten die prozentu- alen Anteile nach Massgabe von Art. 28b Abs. 4 IVG. 3.4 Gemäss aArt. 28a Abs. 1 IVG bzw. Art. 28a Abs. 1 IVG richtet sich die Bemessung des Invaliditätsgrades von erwerbstätigen Versicherten nach Art. 16 ATSG. Der Bundesrat umschreibt die zur Bemessung des In- validitätsgrades massgebenden Erwerbseinkommen sowie die anwendba- ren Korrekturfaktoren. Für die Bestimmung des Invaliditätsgrades wird das Erwerbseinkommen, das die versicherte Person nach Eintritt der Invalidität und nach Durchführung der medizinischen Behandlung und allfälliger Ein- gliederungsmassnahmen durch eine ihr zumutbare Tätigkeit bei ausgegli- chener Arbeitsmarktlage erzielen könnte, in Beziehung gesetzt zum Er- werbseinkommen, das sie erzielen könnte, wenn sie nicht invalid geworden wäre (Art. 16 ATSG). Nach Art. 28a Abs. 3 IVG wird bei Versicherten, die nur zum Teil erwerbs- tätig sind oder die unentgeltlich im Betrieb des Ehegatten oder der Ehegat- tin mitarbeiten, der Invaliditätsgrad für diesen Teil nach Art. 16 ATSG fest- gelegt. Waren sie daneben auch im Aufgabenbereich tätig, so wird der In- validitätsgrad für diese Tätigkeit nach Absatz 2 festgelegt (gemischte Me- thode). In diesem Fall sind der Anteil der Erwerbstätigkeit oder der unent-</w:t>
      </w:r>
    </w:p>
    <w:p>
      <w:r>
        <w:t>Urteil des Verwaltungsgerichts des Kantons Bern vom 18. Juli 2025, IV 200 2024 628 -11- geltlichen Mitarbeit im Betrieb des Ehegatten oder der Ehegattin und der Anteil der Tätigkeit im Aufgabenbereich festzulegen und der Invaliditäts- grad in beiden Bereichen zu bemessen (vgl. auch den redaktionell unter- schiedlichen, inhaltlich jedoch identischen aArt. 28a Abs. 3 IVG). Gemäss Art. 27bis Abs. 1 IVV werden für die Bestimmung des Invaliditäts- grades von Teilerwerbstätigen die Invaliditätsgrade in Bezug auf die Er- werbstätigkeit (lit. a) und in Bezug auf die Betätigung im Aufgabenbereich (lit. b) zusammengezählt. Für die Berechnung des Invaliditätsgrades in Be- zug auf die Erwerbstätigkeit wird gemäss Art. 27bis Abs. 2 IVV das Einkom- men ohne Invalidität auf eine Erwerbstätigkeit, die einem Beschäftigungs- grad von 100 % entspricht, hochgerechnet (lit. a), das Einkommen mit Inva- lidität auf der Basis einer Erwerbstätigkeit, die einem Beschäftigungsgrad von 100 % entspricht, berechnet und entsprechend an die massgebliche funktionelle Leistungsfähigkeit angepasst (lit. b) und die prozentuale Er- werbseinbusse anhand des Beschäftigungsgrades, den die Person hätte, wenn sie nicht invalid geworden wäre, gewichtet (lit. c). Für die Berechnung des Invaliditätsgrades in Bezug auf die Betätigung im Aufgabenbereich wird nach Art. 27bis Abs. 3 IVV der prozentuale Anteil der Einschränkungen bei der Betätigung im Aufgabenbereich im Vergleich zur Situation, wenn die versicherte Person nicht invalid geworden wäre, ermittelt (lit. a) und der An- teil nach lit. a anhand der Differenz zwischen dem Beschäftigungsgrad nach Abs. 2 lit. c und einer Vollerwerbstätigkeit gewichtet (Abs. 3 lit. b; vgl. zum Ganzen auch aArt. 27bis IVV sowie BGE 145 V 370 E. 4). 3.5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 gestufte oder befristete Rente zugesprochen, sind einerseits der Zeitpunkt des Rentenbeginns und anderseits der in Anwendung der Dreimonatsfrist von Art. 88a IVV festzusetzende Zeitpunkt der Anspruchsänderung die massgebenden Vergleichszeitpunkte (BGE 150 V 67 E. 4.3.2 S. 70, 133 V 263 E. 6.1 S. 263; SVR 2020 IV Nr. 70 S. 243, 8C_132/2020 E. 4.2.2).</w:t>
      </w:r>
    </w:p>
    <w:p>
      <w:r>
        <w:t>Urteil des Verwaltungsgerichts des Kantons Bern vom 18. Juli 2025, IV 200 2024 628 -12- Anlass zur Rentenrevision gibt jede wesentliche Änderung in den tatsächli- 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 zu gehört die Verbesserung der Arbeitsfähigkeit aufgrund einer Angewöh- nung oder Anpassung an die Behinderung. Ein Revisionsgrund ist ferner unter Umständen auch dann gegeben, wenn eine andere Art der Bemes- sung der Invalidität zur Anwendung gelangt oder eine Wandlung des Auf- gabenbereichs eingetreten ist (BGE 144 I 103 E. 2.1 S. 105, 141 V 9 E. 2.3 S. 10; SVR 2021 IV Nr. 36 S. 109, 8C_280/2020 E. 3.1).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 sichtlich längere Zeit dauern wird. Sie ist in jedem Fall zu berücksichtigen, nachdem sie ohne wesentliche Unterbrechung drei Monate angedauert hat und voraussichtlich weiterhin andauern wird (Art. 88a Abs. 1 IVV). 4. 4.1 Die Beschwerdegegnerin stellte in medizinischer Hinsicht auf die Beurteilungen des RAD ab. Diesen ist das Folgende zu entnehmen: 4.1.1 In der Aktenbeurteilung vom 15. Dezember 2022 (act. II 55) stellte der RAD-Arzt Dr. med. C.________ folgende Diagnosen:</w:t>
      </w:r>
    </w:p>
    <w:p>
      <w:r>
        <w:rPr>
          <w:b/>
        </w:rPr>
        <w:t>E. 7</w:t>
      </w:r>
    </w:p>
    <w:p>
      <w:r>
        <w:t>August 2024; in BGE 150 V 273 nicht publizierte Erwägung 4.1 des Ur- teils des BGer 9C_385/2023 vom 8. Mai 2024; SVR 2022 IV Nr. 37 S. 121, 8C_572/2021 E. 5.1). Der Mangel der ungenügenden Begründung eines Entscheides ist heilbar, wenn die beschwerdeführende Partei Gelegenheit erhält, zu den in der Ver- nehmlassung der unteren Instanz enthaltenen Motiven in einer Beschwer- deergänzung Stellung zu nehmen und ihr dadurch kein Nachteil erwächst (BGE 107 Ia 1 E. 1 S. 2). Der Mangel kann aber dann nicht geheilt werden, wenn die verfügende Behörde der Beschwerdeinstanz keine Beschwerde- antwort einreicht (BGE 116 V 28 E. 4b S.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