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574 vom 27. Juni 2024</w:t>
      </w:r>
    </w:p>
    <w:p>
      <w:r>
        <w:t>BE Verwaltungsgericht, 2024-06-27, DE</w:t>
      </w:r>
    </w:p>
    <w:p>
      <w:r>
        <w:rPr>
          <w:b/>
        </w:rPr>
        <w:t xml:space="preserve">Quelle: </w:t>
      </w:r>
      <w:r>
        <w:t>https://mcp.opencaselaw.ch/entscheid/be_verwaltungsgericht_200_2024_574</w:t>
      </w:r>
    </w:p>
    <w:p>
      <w:r>
        <w:t>FR: BE_VERWALTUNGSGERICHT 200 2024 574 du 27 juin 2024</w:t>
      </w:r>
    </w:p>
    <w:p>
      <w:r>
        <w:t>IT: BE_VERWALTUNGSGERICHT 200 2024 574 del 27 giugno 2024</w:t>
      </w:r>
    </w:p>
    <w:p>
      <w:pPr>
        <w:pStyle w:val="Heading2"/>
      </w:pPr>
      <w:r>
        <w:t>Regeste</w:t>
      </w:r>
    </w:p>
    <w:p>
      <w:r>
        <w:t>Verfügung vom 27.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Juni 2024 (act. II 165). Streitig und zu prüfen ist der Rentenanspruch des Beschwerdefüh- rers.</w:t>
      </w:r>
    </w:p>
    <w:p>
      <w:r>
        <w:t>Urteil des Verwaltungsgerichts des Kantons Bern vom 22. Mai 2025, IV 200 2024 574 -5- In anfechtungs- und streitgegenständlicher Hinsicht liegt ein Rechtsverhält- nis vor, wenn rückwirkend eine abgestufte und/oder befristete Invalidenren- 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Folglich ist der Rentenanspruch unter Einschluss der vom 1. Juni 2020 bis 31. Ja- nuar 2021 zugesprochenen ganzen resp. der vom 1. Februar 2021 bis 31. Dezember 2023 zugesprochenen halben sowie der ab 1. Januar 2024 zugesprochenen anteilsmässigen (Rente von 64 % einer ganzen Rente) Invalidenrente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150 V 323 E. 4.2 S. 328, 150 V 89 E. 3.2.1 S. 95, 148 V 162 E. 3.2.1 S. 166, 144 V 210 E. 4.3.1 S. 213). Demnach ist nach der bis zum 31. De- zember 2021 geltenden Rechtslage zu beurteilen, ob bis zu diesem Zeit- punkt ein Rentenanspruch entstanden ist. Trifft dies zu, so erfolgt ein allfäl- liger Wechsel zum neuen stufenlosen Rentensystem je nach Alter der Ren- tenbezügerin oder des Rentenbezügers gemäss lit. b und c der Überg- angsbestimmungen des IVG zur Änderung vom 19. Juni 2020 (Urteil des Bundesgerichts [BGer] 8C_608/2022 vom 16. Mai 2023 E. 3.1). Gemäss</w:t>
      </w:r>
    </w:p>
    <w:p>
      <w:r>
        <w:t>Urteil des Verwaltungsgerichts des Kantons Bern vom 22. Mai 2025, IV 200 2024 574 -6- lit. b Abs. 1 bleibt für Rentenbezügerinnen und -bezüger, deren Rentenan- spruch vor Inkrafttreten dieser Änderung entstanden ist und die bei Inkraft- treten dieser Änderung das 55. Altersjahr noch nicht vollendet haben, der bisherige Rentenanspruch solange bestehen, bis sich der Invaliditätsgrad nach Art. 17 Abs. 1 ATSG ändert. Der am tt.mm.1970 geborene Beschwer- deführer (act. II 2) hatte das 55. Altersjahr am 1. Januar 2022 noch nicht vollendet. Die vorliegend angefochtene Verfügung datiert vom 27. Juni 2024 (act. II 165), womit sie nach dem 1. Januar 2022 erging. Indessen liegt der frühestmögliche Zeitpunkt des potenziellen Rentenanspruchs unter Berücksichtigung der im Dezember 2019 erfolgten Anmeldung (act. II 1) und der seit Januar 2017 ausgewiesenen (Teil-)Arbeitsunfähigkeit (vgl. E. 3.4 hiernach) im Juni 2020 (vgl. Art. 28 Abs. 1 und 29 Abs. 1 IVG), wes- halb insoweit die Bestimmungen des IVG und diejenigen der Verordnung vom 17. Januar 1961 über die Invalidenversicherung (IVV, SR 831.201) in der bis 31. Dezember 2021 gültigen Fassung (fortan: aArt.) massgebend sind (vgl. Rz. 9101 des Kreisschreibens des Bundesamtes für Sozialversi- cherungen [BSV] über Invalidität und Rente in der Invalidenversicherung [KSIR]; zur Bedeutung von Verwaltungsweisungen vgl. BGE 150 V 1 E. 6.4.2 S. 6, 148 V 385 E. 5.2 S. 391, 147 V 79 E. 7.3.2 S. 82, 146 V 224 E. 4.4.2 S. 228, 132 V 121 E. 4.4 S. 125). Per 1. Januar 2024 gelangt jedoch das seit 1. Januar 2022 geltende Recht (mit dem Wechsel ins stufenlose Rentensystem) zur Anwendung (vgl. Rz. 9102, 9206 f., 9211 KSIR).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w:t>
      </w:r>
    </w:p>
    <w:p>
      <w:r>
        <w:t>Urteil des Verwaltungsgerichts des Kantons Bern vom 22. Mai 2025, IV 200 2024 574 -7-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2.4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jedoch frühestens im Monat, der auf die Vollendung des 18. Altersjahres folgt (Abs. 1). Gemäss aArt. 28 Abs. 2 IVG (in der bis 31. Dezember 2021 gültig gewese- nen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Gemäss Art. 28b Abs. 1 IVG (in der ab 1. Januar 2022 in Kraft stehenden Fassung) wird die Höhe des Rentenanspruchs in prozentualen Anteilen an</w:t>
      </w:r>
    </w:p>
    <w:p>
      <w:r>
        <w:t>Urteil des Verwaltungsgerichts des Kantons Bern vom 22. Mai 2025, IV 200 2024 574 -8-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 2.5 Gemäss aArt. 28a Abs. 1 IVG bzw. Art. 28a Abs. 1 IVG richtet sich die Bemessung des Invaliditätsgrades von erwerbstätigen Versicherten nach Art. 16 ATSG. Der Bundesrat umschreibt die zur Bemessung des Invaliditätsgrades massgebenden Erwerbseinkommen (sowie die anwend- baren Korrekturfaktoren [Art. 28a Abs. 1 IVG]). Für die Bestimmung des Invaliditätsgrades wird bei einer erwerbstätigen versicherten Person das Erwerbseinkommen, das sie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2.6 Bei rückwirkender Zusprechung einer abgestuften oder befristeten Invalidenrente sind die für die Rentenrevision geltenden Bestimmungen analog anzuwenden,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 monatsfrist von Art. 88a IVV festzusetzende Zeitpunkt der Anspruchsände- rung die massgebenden Vergleichszeitpunkte (BGE 150 V 67 E. 4.3.2 S. 70, 133 V 263 E. 6.1 S. 263; SVR 2020 IV Nr. 70 S. 243, Urteil des BGer 8C_132/2020 vom 18. Juni 2020 E. 4.2.2).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w:t>
      </w:r>
    </w:p>
    <w:p>
      <w:r>
        <w:t>Urteil des Verwaltungsgerichts des Kantons Bern vom 22. Mai 2025, IV 200 2024 574 -9-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110 E. 3.1).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IVV).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Zum Gesundheitszustand und zur Arbeits- und Leistungsfähigkeit des Beschwerdeführers lässt sich den medizinischen Akten im Wesentli- chen das Folgende entnehmen: 3.1.1 Im Operationsbericht vom 21. November 2019 des Spitals F.________ (act. II 14 S. 22 f.) stellte Dr. med. G.________, Facharzt für Neurochirurgie, folgende Diagnose (S. 22):</w:t>
      </w:r>
    </w:p>
    <w:p>
      <w:r>
        <w:t>Urteil des Verwaltungsgerichts des Kantons Bern vom 22. Mai 2025, IV 200 2024 574 -10- - Beginnende kyphotische Fehlstellung der BWS bei Verdacht auf Spondy- lodiszitis BWK 7-9 Der Beschwerdeführer leide an einer Kyphosierung der Wirbelkörper T8 und T9. Im MRI habe sich eine starke KM-Aufnahme in den Wirbelkörpern T7-9 sowie in dem umgebenden zirkumferentiellen Weichteilgewebe ge- zeigt. Klinisch habe der Beschwerdeführer keine Druckdolenz, aber eine leicht akzentuierte Brustkyphose und Rückenschmerzen beim Aufstehen. Am 20. November 2019 wurde eine perkutane Knochen- und Diskusbiopsie BWK 7 und 8 durchgeführt (S. 22). In einem weiteren Operationsbericht desselben Spitals vom 28. November 2019 (act. II 3 S. 5 f.) wurde folgende Hauptdiagnose festgehalten (S. 5): - Kyphosierende pyogene Spondylodiszitis BWK 7/8 bei Staphylokokkus au- reus Infekt Die perkutane transpedikuläre Biopsie BWK 7 und 8 habe den Infektver- dacht bestätigt und – wie die Blutkulturen – ein Wachstum von Staphylo- kokkus aureus ergeben. Für diese Infektion bestünden Risikofaktoren, weil der Beschwerdeführer sich bei ehemaligem Drogenkonsum eine intravenö- se Substitution spritze (S. 6). Am 26. November 2019 wurde eine perkuta- ne Stabilisation der BWK 5,6 nach BWK 9,10 durchgeführt (S. 5). 3.1.2 Der Beschwerdeführer war vom 16. Dezember 2019 bis zum 5. Ja- nuar 2020 in der H.________ AG zur muskuloskelettalen Rehabilitation hospitalisiert. Dem Austrittsbericht vom 7. Januar 2020 (act. II 14 S. 12 ff.) lassen sich im Wesentlichen folgende Diagnosen entnehmen (S. 12 f.):</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Betreffend Einhaltung der Beschwerdefrist ist festzuhalten, dass die angefochtene Verfügung vom 27. Juni 2024 (act. II 165) nicht per Einschreiben, sondern mittels gewöhn- licher Postsendung versandt wurde (vgl. Beschwerdeantwort S. 2 Ziff. B. 2). Folglich kann die Beschwerdegegnerin den Beweis über den Zeitpunkt der Zustellung nicht erbringen, weshalb auf die Darstellung in der Beschwerde abzustellen ist, wonach die Verfügung dem Beschwerdeführer am 1. Juli 2024 zugestellt wurde (vgl. Beschwerde S. 2 Ziff. 1; vgl. hierzu auch BGE 142 IV 125 E. 4.3 S. 128). Unter Berücksichtigung des Fristen- stillstands ist die am 2. September 2024 bei der Post aufgegebene Be- schwerde innerhalb der 30-tägigen Rechtsmittelfrist erfolgt, womit die Be- schwerdefrist eingehalten wurde (vgl. Art. 60 Abs. 1 und 2 i.V.m. Art. 38 Abs. 3 und Abs. 4 lit. b ATSG). Da auch die Bestimmungen über die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