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57 vom 11. August 2025</w:t>
      </w:r>
    </w:p>
    <w:p>
      <w:r>
        <w:t>BE Verwaltungsgericht, 2025-08-11, DE</w:t>
      </w:r>
    </w:p>
    <w:p>
      <w:r>
        <w:rPr>
          <w:b/>
        </w:rPr>
        <w:t xml:space="preserve">Quelle: </w:t>
      </w:r>
      <w:r>
        <w:t>https://mcp.opencaselaw.ch/entscheid/be_verwaltungsgericht_200_2024_57</w:t>
      </w:r>
    </w:p>
    <w:p>
      <w:r>
        <w:t>FR: BE_VERWALTUNGSGERICHT 200 2024 57 du 11 août 2025</w:t>
      </w:r>
    </w:p>
    <w:p>
      <w:r>
        <w:t>IT: BE_VERWALTUNGSGERICHT 200 2024 57 del 11 agosto 2025</w:t>
      </w:r>
    </w:p>
    <w:p>
      <w:pPr>
        <w:pStyle w:val="Heading2"/>
      </w:pPr>
      <w:r>
        <w:t>Regeste</w:t>
      </w:r>
    </w:p>
    <w:p>
      <w:r>
        <w:t>Klage vom 17. Januar 2024</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17. Januar 2024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Gerichtsstand ist nach Art. 73 Abs. 3 BVG der schweizerische Sitz oder Wohnsitz des Beklagten oder der Ort des Betriebes, bei dem die versicherte Person angestellt wurde. Dabei kommt es für den Wahlgerichts- stand nicht darauf an, ob die Vorsorgeeinrichtung, der Arbeitgeber oder die versicherte Person – wie hier – klagende Partei ist (SVR 2006 BVG Nr. 17 S. 61, B 93/04 E. 2.3). Der Kläger war bezüglich aller drei Beklagten bei je- weils einem im Kanton Bern gelegenen Betrieb angestellt (vgl. act. IIIA 107/3, 107/2, act. IIIB 1/19 f.; vgl. auch Klage S. 2 f. Ziff. 2 [Gerichtsdossier pag. 4 f.]), womit das angerufene Gericht zur Behandlung der Klage örtlich zuständig ist. Die passive subjektive Klagenhäufung (vgl. Art. 15 der Schweizerischen Zivilprozessordnung vom 19. Dezember 2008 [ZPO; SR 272]) ist im Rahmen der Gerichtsstandsregelung von Art. 73 Abs. 3 BVG zulässig mit der Folge eines einheitlichen Gerichtsstan- des (BGE 133 V 488). Namentlich bei Streitigkeiten über die Abgrenzung der Leistungspflicht mehrerer Vorsorgeeinrichtungen gestützt auf Art. 23 BVG drängt sich ein einheitlicher Gerichtsstand auf (SVR 2012 BVG Nr. 13 S. 58, 9C_546/2011 E. 2.4). Auch die übrigen Prozessvoraussetzungen sind erfüllt, insbesondere ist die Klage formgerecht eingelangt (Art. 32 VRPG) und die Rechtsvertreterin des Klägers ist gehörig bevollmächtigt (Art. 15 Abs. 1 VRPG; act. I 1). Auf die Klage ist somit einzutreten.</w:t>
      </w:r>
    </w:p>
    <w:p>
      <w:r>
        <w:rPr>
          <w:b/>
        </w:rPr>
        <w:t>E. 1.2</w:t>
      </w:r>
    </w:p>
    <w:p>
      <w:r>
        <w:t>Streitig und zu prüfen ist der Anspruch des Klägers auf eine Invali- denrente sowie auf Beitragsbefreiung gegenüber den Beklagten und damit</w:t>
      </w:r>
    </w:p>
    <w:p>
      <w:r>
        <w:t>Urteil des Verwaltungsgerichts des Kantons Bern vom 11. August 2025, BV 200 2024 57 -7- zusammenhängend insbesondere die Frage, wann die für die Entstehung des Leistungsanspruchs relevante Arbeitsunfähigkeit eingetreten ist und ob der sachliche und zeitliche Konnex zur nachmaligen Invalidität gegeben sind.</w:t>
      </w:r>
    </w:p>
    <w:p>
      <w:r>
        <w:rPr>
          <w:b/>
        </w:rPr>
        <w:t>E. 1.3</w:t>
      </w:r>
    </w:p>
    <w:p>
      <w:r>
        <w:t>Die Abteilungen urteilen gewöhnlich in einer Kammer bestehend aus drei Richterinnen oder Richtern (Art. 56 Abs. 1 GSOG).</w:t>
      </w:r>
    </w:p>
    <w:p>
      <w:r>
        <w:rPr>
          <w:b/>
        </w:rPr>
        <w:t>E. 1.4</w:t>
      </w:r>
    </w:p>
    <w:p>
      <w:r>
        <w:t>Gemäss Art. 73 Abs. 2 BVG sehen die Kantone zur Beurteilung von Streitigkeiten aus dem Bereich des BVG ein einfaches, rasches und in der Regel kostenloses Verfahren vor; der Richter stellt den Sachverhalt von Amtes wegen fest. Innerhalb des Streitgegenstandes ist das Berufsvorsor- gegericht in Durchbrechung der Dispositionsmaxime an die Begehren der Parteien nicht gebunden (Art. 92 Abs. 3 VRPG; vgl. auch BGE 135 V 23 E. 3.1 S. 26).</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150 V 323 E. 4.2 S. 328, 150 V 89 E. 3.2.1 S. 95, 148 V 162 E. 3.2.1 S. 166, 144 V 210 E. 4.3.1 S. 213). Dies gilt sinngemäss auch im Fall einer Änderung von Reglementen oder Statu- ten einer Vorsorgeeinrichtung (BGE 126 V 163 E. 4b S. 166; SVR 2007 BVG Nr. 23 S. 78, B 72/05 E. 4.1). Bei der Festsetzung von Invalidenleis- tungen sind grundsätzlich die Reglementsbestimmungen massgebend, welche im Zeitpunkt der Entstehung des Leistungsanspruchs gelten und nicht jene, die bei Beginn der – in der Folge invalidisierenden – Arbeitsun- fähigkeit in Kraft waren (BGE 121 V 97).</w:t>
      </w:r>
    </w:p>
    <w:p>
      <w:r>
        <w:rPr>
          <w:b/>
        </w:rPr>
        <w:t>E. 2.2</w:t>
      </w:r>
    </w:p>
    <w:p>
      <w:r>
        <w:t>Anspruch auf Invalidenleistungen haben nach Art. 23 lit. a BVG Per- sonen, die im Sinne der Invalidenversicherung zu mindestens 40 % invalid sind und bei Eintritt der Arbeitsunfähigkeit, deren Ursache zur Invalidität ge- führt hat, versichert waren.</w:t>
      </w:r>
    </w:p>
    <w:p>
      <w:r>
        <w:t>Urteil des Verwaltungsgerichts des Kantons Bern vom 11. August 2025, BV 200 2024 57 -8-</w:t>
      </w:r>
    </w:p>
    <w:p>
      <w:r>
        <w:rPr>
          <w:b/>
        </w:rPr>
        <w:t>E. 2.3</w:t>
      </w:r>
    </w:p>
    <w:p>
      <w:r>
        <w:t>Das BVG definiert den Begriff der Invalidität nicht, sondern verweist auf die Invalidenversicherung (vgl. Art. 23 lit. a BVG und Art. 4 der Verordnung vom 18. April 1984 über die berufliche Alters-, Hinterlassenen- und Invalidenvorsorge [BVV 2; SR 831.441.1]). Aus der engen Verbindung zwischen dem Recht auf eine Rente der Invalidenversicherung und demje- nigen auf Invalidenleistungen nach BVG ergibt sich, dass der Invaliditäts- begriff im obligatorischen Bereich der beruflichen Vorsorge und in der Inva- lidenversicherung grundsätzlich der gleiche ist (BGE 120 V 106 E. 3c S. 108).</w:t>
      </w:r>
    </w:p>
    <w:p>
      <w:r>
        <w:rPr>
          <w:b/>
        </w:rPr>
        <w:t>E. 2.3.1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 ten nicht als offensichtlich unhaltbar erscheint. Diese Bindungswirkung fin- det ihre positivrechtliche Grundlage in den Art. 23, 24 Abs. 1 (in Kraft bis Ende 2021; vgl. den seither geltenden Art. 24a) und 26 Abs. 1 BVG, welche an die Regelung des IVG anknüpfen oder diese übernehmen (BGE 143 V 434 E. 2.2 S. 437; SVR 2024 BVG Nr. 40 S. 139, 9C_115/2024 E. 4.2).</w:t>
      </w:r>
    </w:p>
    <w:p>
      <w:r>
        <w:rPr>
          <w:b/>
        </w:rPr>
        <w:t>E. 2.3.2</w:t>
      </w:r>
    </w:p>
    <w:p>
      <w:r>
        <w:t>Im Hinblick auf die verbindliche Wirkung der IV-rechtlichen Qualifi- kation sind die IV-Stellen gehalten, die Vorsorgeeinrichtung(en) spätestens im Vorbescheidverfahren in das IV-rechtliche Verfahren einzubeziehen. Er- folgt dieser Einbezug nicht, vermag der Beschluss der IV-Stelle keine Bin- dungswirkung für die berufliche Vorsorge zu entfalten (BGE 138 V 125 E. 3.3 S. 130, 129 V 73 E. 4.2.2 S. 76; SVR 2019 BVG Nr. 44 S. 172, 9C_738/2018 E. 5.1). Selbst wenn die Vorsorgeeinrichtung – bei fehlendem Einbezug ins IV-rechtliche Verfahren – innerhalb der Rechtsmittelfrist an- derweitig von der Verfügung Kenntnis erhält, erzeugt der Entscheid der IV- Organe keine Bindungswirkung für die Vorsorgeeinrichtung. Sie ist auch nach Treu und Glauben nicht gehalten, die Verfügung anzufechten oder</w:t>
      </w:r>
    </w:p>
    <w:p>
      <w:r>
        <w:t>Urteil des Verwaltungsgerichts des Kantons Bern vom 11. August 2025, BV 200 2024 57 -9- deren Eröffnung zu ihren Handen zu verlangen (SVR 2012 BVG Nr. 30 S. 121, 9C_702/2011 E. 3.2).</w:t>
      </w:r>
    </w:p>
    <w:p>
      <w:r>
        <w:rPr>
          <w:b/>
        </w:rPr>
        <w:t>E. 2.4</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 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9C_52/2018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 Arbeitsunfähigkeit angehört hatte (BGE 130 V 270 E. 4.1 S. 275; SVR 2018 BVG Nr. 37 S. 137, 9C_533/2017 E. 2.1.3).</w:t>
      </w:r>
    </w:p>
    <w:p>
      <w:r>
        <w:rPr>
          <w:b/>
        </w:rPr>
        <w:t>E. 2.5</w:t>
      </w:r>
    </w:p>
    <w:p>
      <w:r>
        <w:t>Unter Arbeitsunfähigkeit ist eine erhebliche und dauerhafte Einbus- se an funktionellem Leistungsvermögen im bisherigen Beruf oder Aufga- benbereich zu verstehen (BGE 134 V 20 E. 3.2.2 S. 23). Sie muss mindes- tens 20 % betragen (BGE 144 V 58 E. 4.4 S. 62; SVR 2022 BVG Nr. 6 S. 21, 9C_181/2021 E. 2.1.1). Ob eine Person trotz Lohnzahlung tatsäch- lich erheblich arbeitsunfähig war, ob sie also im Rahmen eines Arbeitsver- hältnisses – im Hinblick auf den angestammten Tätigkeitsbereich – ihre üb- liche oder aber nunmehr eine behinderungsbedingt eingeschränkte Leis-</w:t>
      </w:r>
    </w:p>
    <w:p>
      <w:r>
        <w:t>Urteil des Verwaltungsgerichts des Kantons Bern vom 11. August 2025, BV 200 2024 57 -10- tung erbrachte, ist von Amtes wegen mit aller Sorgfalt zu prüfen. Recht- sprechungsgemäss ist erforderlich, dass sich die behauptete Arbeitsun- fähigkeit im Arbeitsverhältnis, das über die Vorsorgepflicht den Versiche- rungsschutz begründet, konkret nachteilig bemerkbar gemacht hat, so etwa durch einen Abfall der Leistungen mit entsprechender Feststellung oder gar Ermahnung des Arbeitgebers oder durch gehäufte, aus dem Rahmen fal- lende gesundheitlich bedingte Arbeitsausfälle. Nur beim Vorliegen beson- derer Umstände darf die Möglichkeit einer von der arbeitsrechtlich zu Tage tretenden Situation in Wirklichkeit abweichenden Lage – etwa in dem Sin- ne, dass ein Arbeitnehmer zwar zur Erbringung einer vollen Arbeitsleistung verpflichtet war und auch entsprechend entlöhnt wurde, tatsächlich aber eben doch keine volle Arbeitsleistung hat erbringen können – in Betracht gezogen werden (SVR 2008 IV Nr. 11 S. 32, I 687/06 E. 5.1, 2005 BVG Nr. 5 S. 14, B 45/03 E. 2.2). Die Leistungseinbusse muss in aller Regel dem seinerzeitigen Arbeitgeber aufgefallen sein. Eine erst nach Jahren rückwirkend festgestellte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 tritts der Arbeitsunfähigkeit muss mit dem im Sozialversicherungsrecht übli- chen Beweisgrad der überwiegenden Wahrscheinlichkeit nachgewiesen sein. Dieser Nachweis darf nicht durch nachträgliche erwerbliche oder me- dizinische Annahmen und spekulative Überlegungen ersetzt werden (SVR 2022 BVG Nr. 17 S. 63, 9C_296/2021 E. 5.2.1, 2021 BVG Nr. 30 S. 120, 9C_517/2020 E. 3.2, 2014 BVG Nr. 6 S. 17, 9C_108/2013 E. 4.2).</w:t>
      </w:r>
    </w:p>
    <w:p>
      <w:r>
        <w:rPr>
          <w:b/>
        </w:rPr>
        <w:t>E. 2.6</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w:t>
      </w:r>
    </w:p>
    <w:p>
      <w:r>
        <w:t>Urteil des Verwaltungsgerichts des Kantons Bern vom 11. August 2025, BV 200 2024 57 -11-</w:t>
      </w:r>
    </w:p>
    <w:p>
      <w:r>
        <w:rPr>
          <w:b/>
        </w:rPr>
        <w:t>E. 2.6.1</w:t>
      </w:r>
    </w:p>
    <w:p>
      <w:r>
        <w:t>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2024 BVG Nr. 25 S. 87, 9C_226/2023 E. 3 und 3.1, 2001 BVG Nr. 18 S. 69, B 64/99 E. 5b).</w:t>
      </w:r>
    </w:p>
    <w:p>
      <w:r>
        <w:rPr>
          <w:b/>
        </w:rPr>
        <w:t>E. 2.6.2</w:t>
      </w:r>
    </w:p>
    <w:p>
      <w:r>
        <w:t>Die Annahme eines engen zeitlichen Zusammenhangs setzt voraus, dass die versicherte Person nach Eintritt der Arbeitsunfähigkeit, deren Ur- sache zur Invalidität geführt hat, nicht während längerer Zeit wieder arbeits- fähig war. Bei der Prüfung dieser Frage sind die gesamten Umstände des konkreten Einzelfalles zu berücksichtigen, namentlich die Art des Gesund- 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eine voll vermittlungsfähige, Stellen suchende Person über längere Zeit hinweg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 per se aus (BGE 134 V 20 E. 3.2.1 S. 22; SVR 2024 BVG Nr. 25 S. 87, 9C_226/2023 E. 3.2, 2020 BVG Nr. 36 S. 153, 9C_877/2018 E. 3.3). Der zeitliche Konnex zwischen der während des Vorsorgeverhältnisses ein- getretenen Arbeitsunfähigkeit und der späteren Invalidität wird unterbro- chen, wenn während mehr als drei Monaten eine Arbeitsfähigkeit von über 80 % in einer angepassten Erwerbstätigkeit gegeben ist; eine Arbeitsfähig- keit von 80 % genügt nicht (BGE 144 V 58; SVR 2021 BVG Nr. 31 S. 124, 9C_679/2020 E. 2.2). Anders verhält es sich, wenn die fragliche, allenfalls mehr als dreimonatige Tätigkeit (allenfalls auch erst im Rückblick) als Ein- gliederungsversuch zu werten ist oder massgeblich auf sozialen Erwägun- gen des Arbeitgebers beruhte und eine dauerhafte Wiedereingliederung</w:t>
      </w:r>
    </w:p>
    <w:p>
      <w:r>
        <w:t>Urteil des Verwaltungsgerichts des Kantons Bern vom 11. August 2025, BV 200 2024 57 -12- unwahrscheinlich war (BGE 134 V 20 E. 3.2.1 S. 22; SVR 2022 BVG Nr. 17 S. 63, 9C_296/2021 E. 3, 2020 BVG Nr. 36 S. 153, 9C_877/2018 E. 3.3). Eine zuverlässige Einschätzung des zeitlichen Zusammenhangs ist nur möglich, wenn die Entwicklung gesamthaft betrachtet wird. Die Frage, ob eine nachhaltige Wiederherstellung der Arbeitsfähigkeit möglich war, ist so- mit auch im Lichte von erst später gewonnenen Erkenntnissen zu beurtei- len (SVR 2014 BVG Nr. 36 S. 134, 9C_569/2013 E. 5.3). Bei Schubkrankheiten ist zu prüfen, ob eine länger als drei Monate dauern- de, isoliert betrachtet unauffällige Phase von Erwerbstätigkeit tatsächlich mit der Perspektive einer dauerhaften Berufsausübung verbunden war. Selbst eine länger dauernde Phase der Erwerbstätigkeit zeigt keine ge- sundheitliche Erholung mit weitgehender Wiederherstellung des Leistungs- vermögens an, wenn jegliche berufliche Belastung nach einer gewissen Zeit regelhaft zu schweren Krankheitssymptomen mit erheblicher Ein- schränkung der Arbeitsfähigkeit führt. Damit soll dem Umstand Rechnung getragen werden, dass derartige Krankheitsbilder unterschiedliche Verläufe aufweisen. Dies stellt ein erhöhtes Risiko dar, dass die Krankheit sich erst zu einem Zeitpunkt invalidisierend manifestiert, in welchem eine Versiche- rungsdeckung fehlt, was unter dem Gesichtspunkt des (obligatorischen) Versicherungsschutzes stossend sein kann. Daher kommt bei Schubkrank- heiten den gesamten Umständen des Einzelfalls besondere Bedeutung zu (SVR 2020 BVG Nr. 21 S. 92, 9C_515/2019 E. 2.1.1). Bei bipolaren Störun- gen, die eine gewisse Ähnlichkeit mit schubweise verlaufenden Krankhei- ten aufweisen, kann man sich an diesen Grundsätzen orientieren (SVR 2023 BVG Nr. 19 S. 65, 9C_209/2022 E. 6.2).</w:t>
      </w:r>
    </w:p>
    <w:p>
      <w:r>
        <w:rPr>
          <w:b/>
        </w:rPr>
        <w:t>E. 2.7</w:t>
      </w:r>
    </w:p>
    <w:p>
      <w:r>
        <w:t>Nach Art. 26 Abs. 1 BVG beginnt der Anspruch auf Invalidenleistun- gen der (obligatorischen) beruflichen Vorsorge seit Inkrafttreten der 5. IV- Revision (1. Januar 2008) mit der Entstehung des Anspruchs auf eine Ren- te der Invalidenversicherung nach Art. 29 Abs. 1 IVG, d.h. frühestens sechs Monate nach der Anmeldung bei der Invalidenversicherung, und nicht mit Ablauf der Wartezeit nach Art. 28 Abs. 1 lit. b IVG (BGE 142 V 419 E. 4.3.2 S. 422).</w:t>
      </w:r>
    </w:p>
    <w:p>
      <w:r>
        <w:t>Urteil des Verwaltungsgerichts des Kantons Bern vom 11. August 2025, BV 200 2024 57 -13-</w:t>
      </w:r>
    </w:p>
    <w:p>
      <w:r>
        <w:rPr>
          <w:b/>
        </w:rPr>
        <w:t>E. 3.1</w:t>
      </w:r>
    </w:p>
    <w:p>
      <w:r>
        <w:t>Vorab ist festzuhalten, dass die von Amtes wegen zu prüfende Fra- ge der Aktiv- und Passivlegitimation zur materiellen Begründetheit des Kla- gebegehrens gehört, es sich mithin um materielle Anspruchsvoraussetzun- gen handelt. Mit anderen Worten sind Aktiv- und Passivlegitimation nicht Bedingungen im Sinne von Prozessvoraussetzungen, vielmehr führt ihr Fehlen zur Abweisung und nicht zum Nichteintreten auf die Klage (BGE 147 V 2 E. 3.2.1 S. 5).</w:t>
      </w:r>
    </w:p>
    <w:p>
      <w:r>
        <w:rPr>
          <w:b/>
        </w:rPr>
        <w:t>E. 3.2</w:t>
      </w:r>
    </w:p>
    <w:p>
      <w:r>
        <w:t>Mit unangefochten in Rechtskraft erwachsener Verfügung vom 29. Juli 2021 (act. II 254) sprach die IVB dem Kläger rückwirkend ab 1. Mai 2018 bei einem Invaliditätsgrad von 71 % eine ganze Invalidenrente zu. Wie unter E. 2.4 hiervor dargelegt, werden Invalidenleistungen der obligatorischen beruflichen Vorsorge von derjenigen Vorsorgeeinrichtung geschuldet, bei welcher die ansprechende Person bei Eintritt der Arbeitsunfähigkeit, deren Ursache zur Invalidität geführt hat, versichert war. Dieser Grundsatz findet auch in der weitergehenden Vorsorge Anwendung, wenn – wie bei den Beklagten 1 und 2 – Reglement oder Statuten resp. gesetzliche Grundlagen nichts Anderes vorsehen (BGE 136 V 65 E. 3.2 S. 69; vgl. Art. 29 Abs. 1 des Vorsorgereglements der Beklagten 1, gültig ab 1. Januar 2017 [act. I 4], Art. 9.1.2 der Allgemeinen Reglements- Bestimmungen der Beklagten 2, gültig ab 1. Januar 2005 [act. IIC 3b], bzw. Art. 9.1.3 der Allgemeinen Reglementsbestimmungen der Beklagten 2, gültig ab 1. Januar 2017 [act. IIC 3a]; vgl. dagegen Art. 4.3.1 des Reglements der Beklagten 3, gültig ab 1. Januar 2014 [act. IIB 2], welche im überobligatorischen Bereich der beruflichen Vorsorge von einem anderen Invaliditätsbegriff ausgeht. Mit Blick auf das Resultat [vgl. E. 3.7 hiernach] erübrigen sich jedoch weitere Ausführungen hierzu). Damit ist zunächst zu prüfen, ob die Arbeitsunfähigkeit, deren Ursache zur Invalidität geführt hat, während der Versicherungsdeckung durch die Beklagte 1, 2 oder 3 eingetreten ist.</w:t>
      </w:r>
    </w:p>
    <w:p>
      <w:r>
        <w:rPr>
          <w:b/>
        </w:rPr>
        <w:t>E. 3.2.1</w:t>
      </w:r>
    </w:p>
    <w:p>
      <w:r>
        <w:t>Aufgrund der Akten steht fest, dass die IVB die Beklagten 1, 2 und 3 weder im Vorbescheidverfahren miteinbezogen (act. IIIA 244) noch ihnen die rentenzusprechende Verfügung vom 29. Juli 2021 (act. IIIA 254) eröff-</w:t>
      </w:r>
    </w:p>
    <w:p>
      <w:r>
        <w:t>Urteil des Verwaltungsgerichts des Kantons Bern vom 11. August 2025, BV 200 2024 57 -14- net hat. Folglich besteht für sämtliche Beklagten von vornherein keine Bindungswirkung in Bezug auf die besagte Verfügung (vgl. E. 2.3.2 hiervor), was denn auch unbestritten ist (Klage S. 14 Ziff. 11 [Gerichtsdossier pag. 16], Klageantwort der Beklagten 1 S. 4 Ziff. 10 [Gerichtsdossier pag. 97]). Folglich ist der Eintritt der massgebenden Arbeitsunfähigkeit, deren Ursache zur Invalidität geführt hat, nachfolgend in Bezug auf sämtliche Beklagte frei zu prüfen.</w:t>
      </w:r>
    </w:p>
    <w:p>
      <w:r>
        <w:rPr>
          <w:b/>
        </w:rPr>
        <w:t>E. 3.2.2</w:t>
      </w:r>
    </w:p>
    <w:p>
      <w:r>
        <w:t>Aufgrund des psychiatrischen Verlaufsgutachtens des Dr. med. Q.________ vom 1. September 2020 (act. IIIA 242.1) steht fest und wird von den Parteien zu Recht nicht bestritten, dass der Kläger mit Auswirkung auf die Arbeitsfähigkeit an einer bipolaren affektiven Störung, mit rezidivie- renden manischen, depressiven und gemischten Episoden seit der Adoles- zenz, in den letzten Jahren zunehmende Entwicklung Richtung Rapid- Cycling, mit gegenwärtig affektiv leichter depressiver Episode, jedoch mit chronifizierten kognitiven Einschränkungen im Sinne eines Residuums (ICD-10 F31.8), leidet (S. 22 Ziff. 6.2) . Ohne Auswirkung auf die Arbeits- fähigkeit besteht ein Status nach schädlichem Gebrauch von Alkohol, Ko- kain und einmalig Methamphetamin, sekundär im Rahmen von manifest manischen (seltener depressiven) Episoden auftretend, seit über einem Jahr nachgewiesen abstinent (ICD-10 F19.1; Ziff. 6.3). Der Kläger ist seit Ende August 2017 in seiner angestammten Tätigkeit als … vollständig ar- beitsunfähig; eine leidensangepasste Tätigkeit ist ihm seit Abschluss der beruflichen Eingliederungsmassnahmen, d.h. ab Januar 2020, bei einer Präsenzzeit von maximal 50 % mit einem Rendement von 60 %, d.h. ins- gesamt mit einer Leistungsfähigkeit von maximal 30 %, im freien Arbeits- markt zumutbar (S. 28 Ziff. 8). Gestützt auf diese gutachterlichen Feststel- lungen wurde dem Kläger mit Verfügung vom 29. Juli 2021 (act. IIIA 254) unter Berücksichtigung von Art. 29 Abs. 1 IVG, wonach ein Rentenan- spruch frühestens nach Ablauf von sechs Monaten nach Geltendmachung des Leistungsanspruchs entsteht, und der Neuanmeldung vom Oktober 2017 (act. IIIA 98), ab dem 1. Mai 2018 bei einem Invaliditätsgrad von 71 % eine ganze Invalidenrente zugesprochen.</w:t>
      </w:r>
    </w:p>
    <w:p>
      <w:r>
        <w:rPr>
          <w:b/>
        </w:rPr>
        <w:t>E. 3.2.3</w:t>
      </w:r>
    </w:p>
    <w:p>
      <w:r>
        <w:t>In Würdigung der Akten ergibt sich zum Eintritt der massgebenden Arbeitsunfähigkeit, deren Ursache zur Invalidität geführt hat, das Folgende:</w:t>
      </w:r>
    </w:p>
    <w:p>
      <w:r>
        <w:t>Urteil des Verwaltungsgerichts des Kantons Bern vom 11. August 2025, BV 200 2024 57 -15-</w:t>
      </w:r>
    </w:p>
    <w:p>
      <w:r>
        <w:rPr>
          <w:b/>
        </w:rPr>
        <w:t>E. 3.2.3.1</w:t>
      </w:r>
    </w:p>
    <w:p>
      <w:r>
        <w:t>Beim Kläger manifestierte sich die hier interessierende bipolare af- fektive Störung – nach unauffälliger Entwicklung bis im Sommer 1993 mit Absolvierung von neun Jahren Primarschule und Abschluss einer vierjähri- gen Lehre als … – erstmals im Herbst 1993 als depressive und Ende Ja- nuar bzw. Anfang Februar 1994 dann als manische Episode, was im März 1994 zur ersten stationären psychiatrischen Behandlung mit Stellung der Diagnose einer manischen Episode im Rahmen einer bipolaren affektiven Störung führte (vgl. Bericht der psychiatrischen Dienste R.________ vom 25. Juli 1995 [act. III 1.1/108 Ziff. 4.2], psychiatrisches Teilgutachten von Dr. med. U.________, Facharzt für Psychiatrie und Psychotherapie, vom 1. Dezember 2013 [act. III 57.2/16 Ziff. 7.2], psychiatrisches Gutachten von Dr. med. Q.________ vom 29. Februar 2016 [act. IIIA 78.1/9 Ziff. 3.2.7], Bericht der Praxis V.________ vom 28. März 2009 [act. I 16], Auszug aus der Krankengeschichte von Dr. med. T.________, Facharzt für Allgemeine Innere Medizin, Eintrag vom 14. August 2022 S. 1 [unpaginierte act. IIIH]). Diese Störung ist in den Folgejahren wiederholt aufgetreten und führte zu mehreren stationären Behandlungen des Klägers. Nach einer manischen Episode im Jahr 2007 bzw. Frühjahr 2008 trat eine jahrelange Remission der bipolaren affektiven Störung ein, wobei der Kläger nicht mehr psychia- trisch oder psychotherapeutisch behandelt wurde (psychiatrisches Teilgut- achten von Dr. med. U.________ vom 1. Dezember 2013 [act. III 57.2/15 f. Ziff. 7.1 f.], psychiatrisches Gutachten von Dr. med. Q.________ vom 29. Februar 2016 [act. IIIA 78.1/3 Ziff. 2], Bericht der Praxis V.________ vom 28. März 2009 [act. I 16]).</w:t>
      </w:r>
    </w:p>
    <w:p>
      <w:r>
        <w:rPr>
          <w:b/>
        </w:rPr>
        <w:t>E. 3.2.3.2</w:t>
      </w:r>
    </w:p>
    <w:p>
      <w:r>
        <w:t>Vom 13. Mai 2013 bis zum 30. Juni 2014 war der Kläger bei der Ar- beitgeberin 1 mit einem Vollzeitpensum als … angestellt und dadurch bei der Beklagten 3 berufsvorsorgeversichert (vgl. diesbezüglich bereits lit. A. hiervor). Ein (vollständiges) Personaldossier existiert nicht mehr (vgl. Schreiben der Arbeitgeberin 1 vom 9. April 2024 [Gerichtsdossier pag. 66]), womit – abgesehen vom lediglich aus den übrigen Akten (psych- iatrisches Gutachten von Dr. med. Q.________ vom 29. Februar 2016 [act. IIIA 78.1/9 Ziff. 3.2.5], Auszug aus der Krankengeschichte des behan- delnden Hausarztes Dr. med. T.________, Eintrag vom 1. Mai 2014 bzw. insbesondere auch dessen zeitnahen Berichte vom 23. Mai und 9. Juli 2014 [unpaginierte act. IIIH]) hervorgehenden Vorfall von Ende April 2014</w:t>
      </w:r>
    </w:p>
    <w:p>
      <w:r>
        <w:t>Urteil des Verwaltungsgerichts des Kantons Bern vom 11. August 2025, BV 200 2024 57 -16- (Konfliktsituation am Arbeitsplatz [dem Kläger wurde, aus seiner Sicht zu Unrecht, ein schwerwiegender Fehler vorgeworfen]) mit Freistellung von der Arbeit per Anfang Mai 2014 bzw. Kündigung per Ende Juni 2014 und vollständiger Krankschreibung vom 30. April bis 30. Juni 2014 – kein von der Arbeitgeberin dokumentierter Leistungsabfall oder dergleichen oder gar eine Arbeitsunfähigkeit belegt ist (act. IIIG). Im psychiatrischen Teilgutach- ten von Dr. med. U.________ vom 1. Dezember 2013 basierend auf der Untersuchung vom 29. November 2013 ging dieser denn auch von einer uneingeschränkten Arbeitsfähigkeit als … seit 2007 aus (act. III 57.2/18 Ziff. 8.1). Zum Untersuchungszeitpunkt beschrieb der Gutachter den Kläger denn auch psychopathologisch als weitgehend unauffällig (act. III 57.2/13 Ziff. 5.2). Weiter führte der Mediziner aus, nach Abklingen der manischen Episoden 2007 liessen sich beim Kläger keine manischen oder depressiven Episoden erheben; dieser befinde sich seit Jahren in ausgeglichener Stim- mung ohne vermehrte Unruhezustände und ohne Antriebsstörungen. Ko- gnitive Störungen oder Denkstörungen liessen sich nicht erheben (act. II 57.2/16 Ziff. 7.2.). Der Gutachter legte weiter dar, dass sich beim Kläger seit Jahren keine psychischen Störungen mit Krankheitswert erhe- ben liessen und ausreichend Ressourcen vorhanden seien (act. II 57.2/13 Ziff. 5.2). Damit ist bis zur erwähnten Konfliktsituation am Arbeitsplatz Ende April 2014 ein unauffälliger psychischer Zustand des Klägers ohne diesbe- zügliche Arbeitsunfähigkeit erstellt. Erst aufgrund dieses Vorfalls konsultier- te der Kläger am 1. Mai 2014 notfallmässig den Hausarzt Dr. med. T.________. In dessen Zuweisungsschreiben an Dr. med. W.________, Fachärztin für Psychiatrie und Psychotherapie, vom 23. Mai 2014, mit wel- cher Dr. med. T.________ um eine psychiatrische Evaluation und allenfalls Therapie erbat, nannte er als Zuweisungsgrund eine psychosoziale Belas- tungssituation infolge Kündigung vom Mai 2014 mit bekannter bipolarer affektiver Störung (unpaginierte act. IIIH]). Aufgrund der Zeitspanne vom 13. Mai 2013 bis Ende April 2014, in der von einer uneingeschränkten Ar- beitsfähigkeit auszugehen ist, ist die zeitliche Konnexität zu der 1994 dia- gnostizierten und 2008 letztmals manifestierten bipolaren affektiven Störung unterbrochen worden (E. 2.6.2 hiervor). Ob die zweimonatige Ar- beitsunfähigkeit vom 30. April bis 30. Juni 2014 Folge der Grunderkran- kung, d.h. der bipolaren affektiven Störung, war (sachliche Konnexität), mithin ob eine berufsvorsorgerechtlich relevante Arbeitsunfähigkeit zu die-</w:t>
      </w:r>
    </w:p>
    <w:p>
      <w:r>
        <w:t>Urteil des Verwaltungsgerichts des Kantons Bern vom 11. August 2025, BV 200 2024 57 -17- sem Zeitpunkt wieder eintrat (E. 2.6.1 hiervor), oder ob sie lediglich ein von der Grunderkrankung losgelöstes reaktives Geschehen aufgrund des Ar- beitsplatzkonfliktes darstellt, ist unter den Parteien umstritten (vgl. Replik S.</w:t>
      </w:r>
    </w:p>
    <w:p>
      <w:r>
        <w:rPr>
          <w:b/>
        </w:rPr>
        <w:t>E. 3.2.3.3</w:t>
      </w:r>
    </w:p>
    <w:p>
      <w:r>
        <w:t>Per 1. Juli 2014 trat der Kläger, bei – wie Dr. med. T.________ echtzeitlich feststellte – wieder verbesserter psychischer Situation und grundsätzlich guter Prognose ("Es braucht jedoch eine psychotherapeuti- sche Begleitung"; vgl. Auszug aus der Krankengeschichte von Dr. med. T.________, Einträge vom 26. Juni und 3. Juli 2014, sowie dessen Bericht vom 9. Juli 2014 [vgl. allesamt unpaginierte act. IIIH]) die Anstellung bei der Arbeitgeberin 2 als … mit einem Vollzeitpensum an und war hierdurch bei der Beklagten 2 berufsvorsorgeversichert (vgl. diesbezüglich bereits lit. A. hiervor). Im Personaldossier der Arbeitgeberin 2 ist – was das Jahr 2014 anbelangt – kein von der Arbeitgeberin festgestellter Leistungsabfall oder eine rele- vante Arbeitsunfähigkeit dokumentiert (unpaginierte act. IIIF). Dies auch nicht in den übrigen Akten, namentlich nicht im Arbeitgeberbericht vom 21. Oktober 2015 zu Handen der IVB samt angehängten Arbeitsunfähig- keitszeugnissen (act. IIIA 76/3 Ziff. 2.9 sowie 76/5 Ziff. 2.14 i.V.m. 76/9 ff.). Letzteren Unterlagen ist eine Arbeitsunfähigkeit erst ab 1. Februar 2015 und eine Pensumsreduktion auf 80 % erst ab 3. August 2015 zu entneh- men. Daher ist – mangels gegenteiliger Hinweise – vom 1. Juli 2014 bis (ei- genanamnestisch) zum 29. Januar 2015 (Bericht der psychiatrischen Dienste R.________ vom 16. Juni 2015 [act. IIIA 72/6]) bzw. bis zur ärztli- chen Krankschreibung ab 1. Februar 2015 (act. IIA 76/13) von einer unein- geschränkten Arbeitsfähigkeit auszugehen, mithin über eine Dauer von rund sieben Monaten. Entgegen der Ansicht der Beklagten 2 (Klageantwort S. 6 Ziff. 11 [Gerichtsdossier pag. 110]) stellt dies ein gewichtiges Indiz für eine Unterbrechung des zeitlichen Zusammenhangs (E. 2.6.2 hiervor) dar. Hinzu kommt, dass Dr. med. U.________ bereits im psychiatrischen Gut- achten vom 1. Dezember 2013 eine uneingeschränkte Arbeitsfähigkeit in</w:t>
      </w:r>
    </w:p>
    <w:p>
      <w:r>
        <w:t>Urteil des Verwaltungsgerichts des Kantons Bern vom 11. August 2025, BV 200 2024 57 -18- der angestammten Tätigkeit attestiert (act. III 57.2/18 Ziff. 8.1) sowie eine gute Prognose ("Unter regelmässiger Einnahme des Mood-Stabilizers ist weiterhin eine stabile psychische Verfassung zu erwarten. Damit erscheint die Prognose günstig.") gestellt hatte (act. III 57.2/20 Ziff. 8.4). Auch der behandelnde Hausarzt Dr. med. T.________ ging nach der zweimonatigen Arbeitsunfähigkeit vom 30. April bis zum 30. Juni 2014 von einer guten Prognose aus, auch wenn er eine psychotherapeutische Begleitung für indiziert hielt (Schreiben von Dr. med. T.________ vom 9. Juli 2014 [un- paginierte act. IIIH]). Damit erschien zum damaligen Zeitpunkt eine dauer- hafte Wiedererlangung bzw. Beibehaltung der vollständigen Erwerbsfähig- keit als objektiv wahrscheinlich. Sofern die zweimonatige Arbeitsunfähigkeit vom 30. April bis zum 30. Juni 2014 Folge der Grunderkrankung gewesen sein sollte – was unter den Parteien strittig ist und mit Blick auf den Ar- beitsplatzkonflikt zumindest fraglich erscheint (vgl. E. 3.2.3.2 am Ende hier- vor) –, wäre der zeitliche Konnex mit der danach bis Ende Januar 2015 ausgewiesenen uneingeschränkten Arbeitsfähigkeit jedenfalls unterbrochen worden. Soweit die Zeit danach betreffend, ergibt sich aus den Akten das Folgende: Eigenanamnestisch gab der Kläger beim Eintritt in die psychiatrischen Dienste R.________ am 2. Februar 2015 an, vor einigen Wochen das we- gen der bipolaren affektiven Störung bis dahin eingenommene Medikament selbstständig abgesetzt zu haben, da er das Gefühl gehabt habe, wieder "gesund" zu sein. Ca. zwei Monate vor dem Klinikeintritt habe er wieder vermehrt zu trinken begonnen und sich im Rotlichtmilieu aufgehalten. Am 29. Januar 2015 habe er dann zum ersten Mal nicht arbeiten gehen kön- nen, da er in der Nacht zuvor zu viel getrunken habe (Austrittsbericht der psychiatrischen Dienste R.________ vom 16. Juni 2015 [act. IIID 3/2]). Diese Umstände führten in der Folge schliesslich zu vier stationären Be- handlungen in den psychiatrischen Diensten R.________, nämlich vom</w:t>
      </w:r>
    </w:p>
    <w:p>
      <w:r>
        <w:rPr>
          <w:b/>
        </w:rPr>
        <w:t>E. 5</w:t>
      </w:r>
    </w:p>
    <w:p>
      <w:r>
        <w:t>oben [Gerichtsdossier pag. 137], Duplik der Beklagten 1 S. 7 Ziff. 14 [Ge- richtsdossier pag. 164], Duplik der Beklagten 2 S. 2 f. Ziff. 3 [Gerichtsdos- sier pag. 168 f.] und S. 5 Ziff. 9 [Gerichtsdossier pag. 171]). Die Frage kann mit Blick auf die nachfolgenden Ausführungen jedoch letztlich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