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567 vom 6. November 2025</w:t>
      </w:r>
    </w:p>
    <w:p>
      <w:r>
        <w:t>BE Verwaltungsgericht, 2025-11-06, DE</w:t>
      </w:r>
    </w:p>
    <w:p>
      <w:r>
        <w:rPr>
          <w:b/>
        </w:rPr>
        <w:t xml:space="preserve">Quelle: </w:t>
      </w:r>
      <w:r>
        <w:t>https://mcp.opencaselaw.ch/entscheid/be_verwaltungsgericht_200_2024_567</w:t>
      </w:r>
    </w:p>
    <w:p>
      <w:r>
        <w:t>FR: BE_VERWALTUNGSGERICHT 200 2024 567 du 6 novembre 2025</w:t>
      </w:r>
    </w:p>
    <w:p>
      <w:r>
        <w:t>IT: BE_VERWALTUNGSGERICHT 200 2024 567 del 6 novembre 2025</w:t>
      </w:r>
    </w:p>
    <w:p>
      <w:pPr>
        <w:pStyle w:val="Heading2"/>
      </w:pPr>
      <w:r>
        <w:t>Regeste</w:t>
      </w:r>
    </w:p>
    <w:p>
      <w:r>
        <w:t>Verfügung vom 27. Juni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unter Berücksichtigung des Fristenstillstandes auch die Bestimmungen über Frist (Art. 60 ATSG i.V.m. Art. 38 Abs. 4 lit. b ATSG) sowie Form (Art. 61 lit. b ATSG; Art. 81 Abs. 1 i.V.m. Art. 32 des kantonalen Gesetzes vom 23. Mai 1989 über die Verwaltungsrechtspflege [VRPG; BSG 155.21]) eingehalten sind, ist – vorbehältlich nachfolgender E. 1.2 – auf die Beschwerde einzutreten</w:t>
      </w:r>
    </w:p>
    <w:p>
      <w:r>
        <w:rPr>
          <w:b/>
        </w:rPr>
        <w:t>E. 1.2</w:t>
      </w:r>
    </w:p>
    <w:p>
      <w:r>
        <w:t>Anfechtungsobjekt bildet die Verfügung vom 27. Juni 2024 (act. II 208). Streitig und zu prüfen ist einzig der Anspruch der Beschwerde- führerin auf eine Invalidenrente. Nicht verfügt hat die Beschwerdegegnerin über andere Leistungen der Invalidenversicherung. Diese bilden damit nicht Teil des Anfechtungsobjekts und sind folglich nicht Gegenstand des vorlie- genden Verfahrens. Soweit die Beschwerde weitergeht und berufliche Massnahmen (Beschwerde S. 2 Rechtsbegehren Ziff. 1 lit. b) beantragt werden, kann daher darauf nicht eingetreten werden (BGE 131 V 164 E. 2.1 S. 164; SVR 2021 AHV Nr. 21 S. 67, 9C_86/2021 E. 5.2).</w:t>
      </w:r>
    </w:p>
    <w:p>
      <w:r>
        <w:rPr>
          <w:b/>
        </w:rPr>
        <w:t>E. 1.3</w:t>
      </w:r>
    </w:p>
    <w:p>
      <w:r>
        <w:t>Die Abteilungen urteilen gewöhnlich in einer Kammer bestehend aus drei Richterinnen oder Richtern (Art. 56 Abs. 1 GSOG).</w:t>
      </w:r>
    </w:p>
    <w:p>
      <w:r>
        <w:t>Urteil des Verwaltungsgerichts des Kantons Bern vom 6. Nov. 2025, IV 200 2024 567 -7-</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Vorab macht die Beschwerdeführerin eine Verletzung des rechtli- chen Gehörs geltend. Die Beschwerdegegnerin habe ihr die im Vorbe- scheidverfahren eingeholten RAD-Aktenbeurteilungen der Dres. med. F.________ und G.________ vom 21. Juni 2024 (act. II 206 f.) vor Verfü- gungserlass nicht zur Kenntnis gebracht, sodass ihr keine Gelegenheit zur Stellungnahme vor Erlass der Verfügung vom 27. Juni 2024 (act. II 208) geboten worden sei (Beschwerde S. 7 ff. Ziff. 7 sowie Ausführungen des Rechtsvertreters der Beschwerdeführerin anlässlich der Schlussverhand- lung vom 20. August 2025).</w:t>
      </w:r>
    </w:p>
    <w:p>
      <w:r>
        <w:rPr>
          <w:b/>
        </w:rPr>
        <w:t>E. 2.2.1</w:t>
      </w:r>
    </w:p>
    <w:p>
      <w:r>
        <w:t>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2024 BVG Nr. 23 S. 79, 9C_437/2023 E. 5.2).</w:t>
      </w:r>
    </w:p>
    <w:p>
      <w:r>
        <w:rPr>
          <w:b/>
        </w:rPr>
        <w:t>E. 2.2.2</w:t>
      </w:r>
    </w:p>
    <w:p>
      <w:r>
        <w:t>Nach der Rechtsprechung kann eine nicht besonders schwerwie- gende Verletzung des rechtlichen Gehörs als geheilt gelten, wenn die be- troffene Person die Möglichkeit erhält, sich vor einer Beschwerdeinstanz zu</w:t>
      </w:r>
    </w:p>
    <w:p>
      <w:r>
        <w:t>Urteil des Verwaltungsgerichts des Kantons Bern vom 6. Nov. 2025, IV 200 2024 567 -8- äussern, die sowohl den Sachverhalt wie auch die Rechtslage frei überprü- fen kann. Die Heilung eines allfälligen Mangels soll aber die Ausnahme bleiben (BGE 137 I 195 E. 2.3.2 S. 197, 126 V 130 E. 2b S. 132; SVR 2021 IV Nr. 43 S. 139, 9C_555/2020 E. 4.4.1, 2020 IV Nr. 57 S. 193, 8C_25/2020 E. 3.3.1). Von einer Rückweisung der Sache zur Gewährung des rechtlichen Gehörs an die Verwaltung ist im Sinne einer Heilung des Mangels selbst bei einer schwerwiegenden Verletzung des rechtlichen Gehörs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137 I 195 E. 2.3.2 S. 197; SVR 2021 IV Nr. 43 S. 139, 9C_555/2020 E. 4.4.1, 2020 IV Nr. 57 S. 193, 8C_25/2020 E. 3.3.1).</w:t>
      </w:r>
    </w:p>
    <w:p>
      <w:r>
        <w:rPr>
          <w:b/>
        </w:rPr>
        <w:t>E. 2.3</w:t>
      </w:r>
    </w:p>
    <w:p>
      <w:r>
        <w:t>Die Beschwerdegegnerin hat im zweiten Einwandverfahren Stel- lungnahmen der RAD-Ärzte Dres. med. G.________ und F.________ vom 21. Juni 2024 (act. II 206 f.) eingeholt, ohne diese vor Verfügungserlass der Beschwerdeführerin zukommen zu lassen. Ob damit das rechtliche Gehör verletzt wurde, kann offen bleiben. Selbst wenn eine Verletzung des rech- ten Gehörs im vorliegenden Fall zu bejahen wäre, wäre sie mit Blick auf das bereits zuvor durchgeführte Vorbescheidverfahren (vgl. act. II 178 ff.) zumindest nicht als besonders schwerwiegend zu qualifizieren und über- dies als geheilt zu betrachten. Denn die Beschwerdeführerin erhielt vor dem angerufenen Gericht die Möglichkeit, sich uneingeschränkt zu den besagten Unterlagen zu äussern bzw. entsprechende Einwände vorzubrin- gen. Auch war ihr eine sachgerechte Anfechtung der Verfügung vom 27. Juni 2024 (act. II 208) ohne weiteres möglich; namentlich konnte sie ihre Einwände zu den besagten RAD-Beurteilungen dartun. Sodann bestehen keine Hinweise für die von der Beschwerdeführerin geltend gemachte noto- rische Verletzung des rechtlichen Gehörs der Versicherten durch die Be- schwerdegegnerin. Die beantragte Rückweisung der Sache käme damit einem formalistischen Leerlauf gleich, was zu einer unnötigen weiteren Verzögerung führen würde und mit dem Prinzip des raschen Verfahrens nicht vereinbar und somit auch nicht im Interesse der Beschwerdeführerin wäre. Dass die Beschwerdeführerin selbst der Gehörsgewährung im Vor- bescheidverfahren höheres Gewicht beimisst als der beförderlichen Verfah-</w:t>
      </w:r>
    </w:p>
    <w:p>
      <w:r>
        <w:t>Urteil des Verwaltungsgerichts des Kantons Bern vom 6. Nov. 2025, IV 200 2024 567 -9- rensführung und eine Rückweisung ausdrücklich nicht als formalistischen Leerlauf sieht (Beschwerde S. 9 Ziff. 7 sowie Ausführungen des Rechtsver- treters der Beschwerdeführerin anlässlich der Schlussverhandlung vom 20. August 2025), ändert nichts daran, dass ein solcher bei einer Rückweisung vorläge und damit der Vorschrift des einfachen und raschen Verfahrens gemäss Art. 61 lit. a ATSG widerspräche. Für eine Aufhebung der ange- fochtenen Verfügung aus formellen Gründen besteht damit kein Anlass.</w:t>
      </w:r>
    </w:p>
    <w:p>
      <w:r>
        <w:rPr>
          <w:b/>
        </w:rPr>
        <w:t>E. 3.1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3.2</w:t>
      </w:r>
    </w:p>
    <w:p>
      <w:r>
        <w:t>Nach Art. 28 Abs. 1 IVG haben Versicherte Anspruch auf eine Ren- te, wenn sie ihre Erwerbsfähigkeit oder die Fähigkeit, sich im Aufgabenbe- reich zu betätigen, nicht durch zumutbare Eingliederungsmassnahmen wie- der herstellen, erhalten oder verbessern können (lit. a), während eines Jah- res ohne wesentlichen Unterbruch durchschnittlich mindestens 40 % ar- beitsunfähig (Art. 6 ATSG) gewesen sind (lit. b) und nach Ablauf dieses Jahres zu mindestens 40 % invalid (Art. 8 ATSG) sind (lit. c).</w:t>
      </w:r>
    </w:p>
    <w:p>
      <w:r>
        <w:rPr>
          <w:b/>
        </w:rPr>
        <w:t>E. 3.3.1</w:t>
      </w:r>
    </w:p>
    <w:p>
      <w:r>
        <w:t>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Invalidenversicherung [IVV, SR 831.201]).</w:t>
      </w:r>
    </w:p>
    <w:p>
      <w:r>
        <w:t>Urteil des Verwaltungsgerichts des Kantons Bern vom 6. Nov. 2025, IV 200 2024 567 -10-</w:t>
      </w:r>
    </w:p>
    <w:p>
      <w:r>
        <w:rPr>
          <w:b/>
        </w:rPr>
        <w:t>E. 3.3.2</w:t>
      </w:r>
    </w:p>
    <w:p>
      <w:r>
        <w:t>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 validität zu bejahen, und hernach zu beschliessen. Im Beschwerdefall ob- liegt die gleiche materielle Prüfungspflicht auch dem Gericht (BGE 117 V 198 E. 3a S. 198; SVR 2008 IV Nr. 35 S. 117, I 822/06 E. 2.1).</w:t>
      </w:r>
    </w:p>
    <w:p>
      <w:r>
        <w:rPr>
          <w:b/>
        </w:rPr>
        <w:t>E. 3.3.3</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 messung der Invalidität zur Anwendung gelangt oder eine Wandlung des Aufgabenbereichs eingetreten ist (BGE 144 I 103 E. 2.1 S. 105, 141 V 9 E. 2.3 S. 10; SVR 2021 IV Nr. 36 S. 109, 8C_280/2020 E. 3.1).</w:t>
      </w:r>
    </w:p>
    <w:p>
      <w:r>
        <w:rPr>
          <w:b/>
        </w:rPr>
        <w:t>E. 3.3.4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3.3.5</w:t>
      </w:r>
    </w:p>
    <w:p>
      <w:r>
        <w:t>Liegt eine erhebliche Änderung des Sachverhalts vor, ist der Ren- tenanspruch in rechtlicher und tatsächlicher Hinsicht allseitig, d.h. unter Be- rücksichtigung des gesamten für die Leistungsberechtigung ausschlagge-</w:t>
      </w:r>
    </w:p>
    <w:p>
      <w:r>
        <w:t>Urteil des Verwaltungsgerichts des Kantons Bern vom 6. Nov. 2025, IV 200 2024 567 -11- benden Tatsachenspektrums, neu und ohne Bindung an frühere Invali- ditätsschätzungen zu prüfen (BGE 141 V 9 E. 2.3 S. 11, 117 V 198 E. 4b S. 200; SVR 2021 IV Nr. 36 S. 109, 8C_280/2020 E. 3.1).</w:t>
      </w:r>
    </w:p>
    <w:p>
      <w:r>
        <w:rPr>
          <w:b/>
        </w:rPr>
        <w:t>E. 4.1</w:t>
      </w:r>
    </w:p>
    <w:p>
      <w:r>
        <w:t>Die Beschwerdegegnerin ist auf die Neuanmeldung vom Mai 2022 (act. II 143) eingetreten und hat über den hier streitigen (vgl. E. 1.2 hiervor) Rentenanspruch materiell befunden. Die Eintretensfrage ist – da nicht strei- tig – vom Gericht nicht zu beurteilen (BGE 109 V 108 E. 2b S. 114).</w:t>
      </w:r>
    </w:p>
    <w:p>
      <w:r>
        <w:rPr>
          <w:b/>
        </w:rPr>
        <w:t>E. 4.2</w:t>
      </w:r>
    </w:p>
    <w:p>
      <w:r>
        <w:t>Vorliegend ist durch einen Vergleich des Sachverhalts im Zeitpunkt der Verfügung vom 12. Juni 2019 (act. II 137) und der hier angefochtenen Verfügung vom 27. Juni 2024 (act. II 208) zu prüfen, ob in den tatsächli- chen Verhältnissen eine wesentliche Änderung eingetreten ist, die geeignet ist, den Invaliditätsgrad in anspruchsbegründender Weise zu beeinflussen (E. 3.3.2 hiervor).</w:t>
      </w:r>
    </w:p>
    <w:p>
      <w:r>
        <w:rPr>
          <w:b/>
        </w:rPr>
        <w:t>E. 4.3</w:t>
      </w:r>
    </w:p>
    <w:p>
      <w:r>
        <w:t>Die Verfügung vom 12. Juni 2019 (act. II 137) basierte aus psychia- trischer Sicht auf dem Gutachten des PD Dr. med. E.________ vom 20. März 2018 (act. II 125) und in somatischer Hinsicht auf dem rheumatologi- schen Gutachten des Dr. med. C.________ vom 5. November 2014 (act. II 62.1), dem Austrittsbericht des Spitals H.________ vom 1. Septem- ber 2018 (act. II 107/10) sowie der Aktenbeurteilung des Dr. med. F.________ vom RAD vom 30. Oktober 2018 (act. II 109). Diesen medizi- nischen Unterlagen ist im Wesentlichen das Folgende zu entnehmen:</w:t>
      </w:r>
    </w:p>
    <w:p>
      <w:r>
        <w:rPr>
          <w:b/>
        </w:rPr>
        <w:t>E. 4.3.1</w:t>
      </w:r>
    </w:p>
    <w:p>
      <w:r>
        <w:t>Im rheumatologischen Teilgutachten des Dr. med. C.________ vom</w:t>
      </w:r>
    </w:p>
    <w:p>
      <w:r>
        <w:rPr>
          <w:b/>
        </w:rPr>
        <w:t>E. 4.3.2</w:t>
      </w:r>
    </w:p>
    <w:p>
      <w:r>
        <w:t>Im Austrittsbericht des Spitals H.________ vom 1. September 2018 (act. II 107/10) betreffend die Hospitalisation vom 24. August 2018 bis zum</w:t>
      </w:r>
    </w:p>
    <w:p>
      <w:r>
        <w:rPr>
          <w:b/>
        </w:rPr>
        <w:t>E. 5</w:t>
      </w:r>
    </w:p>
    <w:p>
      <w:r>
        <w:t>November 2014 (act. II 62.1) stellte dieser keine Diagnose mit Auswir- kung auf die Arbeitsfähigkeit. Ohne Auswirkung auf die Arbeitsfähigkeit be- stünden chronifizierte sternokostale Schmerzen links (seit 2012), sporadi- sche Kreuzschmerzen (seit einem bis zwei Jahren) sowie eine Adipositas permagna (S. 11). Gemäss den Akten stünden bzw. hätten bei der Be- schwerdeführerin psychische Probleme im Sinne einer depressiven Episo- de seit Herbst 2012 im Vordergrund gestanden. Vor diesem Zeitpunkt sei sie nie ernstlich krank gewesen und habe nie ärztliche Behandlungen</w:t>
      </w:r>
    </w:p>
    <w:p>
      <w:r>
        <w:t>Urteil des Verwaltungsgerichts des Kantons Bern vom 6. Nov. 2025, IV 200 2024 567 -12- benötigt. An somatischen Diagnosen werde ganz am Rande eine chronisch rezidivierende Lumbalgie erwähnt, allerdings ohne klinische und/oder bild- gebende Erläuterungen. Ferner würden Kopfschmerzen und linksseitige Brustschmerzen aufgezählt, wobei letztere allerdings schon im August 2012 im Spital H.________ ohne erkennbares somatisches Substrat abge- klärt worden seien. Bei der aktuellen Befragung hätten vorwiegend linkstho- rakale Schmerzen, die immer mit Schmerzen im Schläfenbereich links ver- bunden gewesen seien, im Vordergrund gestanden. Die degenerativen Veränderungen seien altersnormal. Körperlich könne eine leicht verminder- te Belastbarkeit der Brustwirbelsäule angenommen werden, wobei das er- hebliche Übergewicht ein zusätzlicher Faktor sei. Rückenschwerarbeit kön- ne der Beschwerdeführerin nicht mehr zugemutet werden. Im Rahmen ihrer Konstitution und ihres Alters seien alle Funktionen und die Belastbarkeit er- halten. Die bisherige Tätigkeit als … … sei der Beschwerdeführerin ganz- tags zumutbar. Dabei sei die Leistungsfähigkeit höchstens für Schwerarbeit herabgesetzt. Aus somatischer Sicht bestehe keine Arbeitsunfähigkeit von 20 % oder mehr. Eine wechselbelastende bis mittelschwere Arbeit wäre optimal. Eine solche wäre ganztags und aus somatischer Sicht ohne Leis- tungseinschränkung zumutbar (S. 11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