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525 vom 1. Juli 2024</w:t>
      </w:r>
    </w:p>
    <w:p>
      <w:r>
        <w:t>BE Verwaltungsgericht, 2024-07-01, DE</w:t>
      </w:r>
    </w:p>
    <w:p>
      <w:r>
        <w:rPr>
          <w:b/>
        </w:rPr>
        <w:t xml:space="preserve">Quelle: </w:t>
      </w:r>
      <w:r>
        <w:t>https://mcp.opencaselaw.ch/entscheid/be_verwaltungsgericht_200_2024_525</w:t>
      </w:r>
    </w:p>
    <w:p>
      <w:r>
        <w:t>FR: BE_VERWALTUNGSGERICHT 200 2024 525 du 1 juillet 2024</w:t>
      </w:r>
    </w:p>
    <w:p>
      <w:r>
        <w:t>IT: BE_VERWALTUNGSGERICHT 200 2024 525 del 1 luglio 2024</w:t>
      </w:r>
    </w:p>
    <w:p>
      <w:pPr>
        <w:pStyle w:val="Heading2"/>
      </w:pPr>
      <w:r>
        <w:t>Regeste</w:t>
      </w:r>
    </w:p>
    <w:p>
      <w:r>
        <w:t>Einspracheentscheid vom 1. Juli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 gefochtenen Entscheid berührt und hat ein schutzwürdiges Interesse an dessen Aufhebung, weshalb er Urteil des Verwaltungsgerichts des Kantons Bern vom 6. Februar 2025, UV 200 2024 525 -5- zur Beschwerde befugt ist (Art. 59 ATSG). Die örtliche Zuständigkeit ist ge- geben (Art. 58 ATSG). Da unter Berücksichtigung des Fristenstillstandes auch die Bestimmungen über Frist (Art. 60 ATSG i.V.m. Art. 38 Abs. 4 lit. b ATSG) sowie Form (Art. 61 lit. b ATSG; Art. 81 Abs. 1 i.V.m. Art. 32 des kantonalen Gesetzes vom 23. Mai 1989 über die Verwaltungsrechtspflege [VRPG; BSG 155.21]) eingehalten sind, ist auf die Beschwerde einzutreten.</w:t>
      </w:r>
    </w:p>
    <w:p>
      <w:r>
        <w:rPr>
          <w:b/>
        </w:rPr>
        <w:t>E. 1.2</w:t>
      </w:r>
    </w:p>
    <w:p>
      <w:r>
        <w:t>Anfechtungsobjekt bildet der Einspracheentscheid vom 1. Juli 2024 (act. II 157). Streitig und zu prüfen ist einzig der Anspruch des Beschwer- deführers auf eine Integritätsentschädigung. Die mit Verfügung vom 6. April 2023 (act. II 135) zugesprochene und mit Einspracheentscheid vom 1. Juli 2024 (act. II 157) bestätigte Übergangsrente ist vorliegend nicht mehr strei- tig, so dass diesbezüglich Teilrechtskraft eingetreten ist (BGE 144 V 354 E. 4.3 S. 358).</w:t>
      </w:r>
    </w:p>
    <w:p>
      <w:r>
        <w:rPr>
          <w:b/>
        </w:rPr>
        <w:t>E. 1.3</w:t>
      </w:r>
    </w:p>
    <w:p>
      <w:r>
        <w:t>Der Beschwerdeführer beantragt eine Integritätsentschädigung ent- sprechend einem Integritätsschaden von 15 % anstatt der zugesprochenen Integritätsentschädigung entsprechend einem Integritätsschaden von 7.5 % womit der Streitwert unter Fr. 20'000.-- liegt (Fr. 148'200.-- [Art. 22 Abs. 1 der Verordnung vom 20. Dezember 1982 über die Unfallversicherung {UVV; SR 832.202}] x 7.5 % [Art. 36 Abs. 2 UVV i.V.m. Anhang 3 Ziff. 1] = Fr. 11'115.--) und die Beurteilung der Streitigkeit in die einzelrichterliche Zu- ständigkeit fällt (Art. 57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Urteil des Verwaltungsgerichts des Kantons Bern vom 6. Februar 2025, UV 200 2024 525 -6- Körper, die eine Beeinträchtigung der körperlichen, geistigen oder psychi- schen Gesundheit oder den Tod zur Folge hat (Art. 4 ATSG). Fehlt eines dieser Elemente, ist das Ereignis nicht als Unfall zu qualifizieren, sondern die durch das Ereignis verursachte Gesundheitsbeeinträchtigung gegebe- nenfalls als Krankheit (Art. 3 Abs. 1 ATSG; BGE 150 V 229 E. 3 S. 230).</w:t>
      </w:r>
    </w:p>
    <w:p>
      <w:r>
        <w:rPr>
          <w:b/>
        </w:rPr>
        <w:t>E. 2.2</w:t>
      </w:r>
    </w:p>
    <w:p>
      <w:r>
        <w:t>Die Leistungspflicht des Unfallversicherers setzt (u.a.) voraus, dass zwischen dem Unfallereignis und dem eingetretenen Schaden (Krankheit, Invalidität, Tod) ein natürlicher und adäquater Kausalzusammenhang be- steht (BGE 148 V 356 E. 3 S. 358).</w:t>
      </w:r>
    </w:p>
    <w:p>
      <w:r>
        <w:rPr>
          <w:b/>
        </w:rPr>
        <w:t>E. 2.2.1</w:t>
      </w:r>
    </w:p>
    <w:p>
      <w:r>
        <w:t>Ursachen im Sinne des natürlichen Kausalzusammenhangs sind al- 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w:t>
      </w:r>
    </w:p>
    <w:p>
      <w:r>
        <w:rPr>
          <w:b/>
        </w:rPr>
        <w:t>E. 2.2.2</w:t>
      </w:r>
    </w:p>
    <w:p>
      <w:r>
        <w:t>Nach der Rechtsprechung hat ein Ereignis dann als adäquate Ursa- che eines Erfolges zu gelten, wenn es nach dem gewöhnlichen Lauf der Dinge und nach der allgemeinen Lebenserfahrung an sich geeignet ist, ei- nen Erfolg von der Art des eingetretenen herbeizuführen, der Eintritt dieses Erfolges also durch das Ereignis allgemein als begünstigt erscheint (BGE 148 V 356 E. 3 S. 358, 129 V 177 E. 3.2 S. 181).</w:t>
      </w:r>
    </w:p>
    <w:p>
      <w:r>
        <w:rPr>
          <w:b/>
        </w:rPr>
        <w:t>E. 2.3.1</w:t>
      </w:r>
    </w:p>
    <w:p>
      <w:r>
        <w:t>Nach Art. 24 Abs. 1 UVG hat die versicherte Person Anspruch auf eine angemessene Integritätsentschädigung, wenn sie durch den Unfall ei- ne dauernde erhebliche Schädigung der körperlichen, geistigen oder psy- chischen Integrität erleidet. Die Integritätsentschädigung wird in Form einer Kapitalleistung gewährt. Sie darf den am Unfalltag geltenden Höchstbetrag Urteil des Verwaltungsgerichts des Kantons Bern vom 6. Februar 2025, UV 200 2024 525 -7- des versicherten Jahresverdienstes nicht übersteigen und wird entspre- chend der Schwere des Integritätsschadens abgestuft (Art. 25 Abs. 1 UVG).</w:t>
      </w:r>
    </w:p>
    <w:p>
      <w:r>
        <w:rPr>
          <w:b/>
        </w:rPr>
        <w:t>E. 2.3.2</w:t>
      </w:r>
    </w:p>
    <w:p>
      <w:r>
        <w:t>Die Integritätsentschädigung soll den immateriellen Schaden (Schmerzen, Leid sowie Beeinträchtigung des Lebensgenusses) ausglei- chen, der über die Phase der medizinischen Behandlung hinaus andauert und von dem anzunehmen ist, dass er ein Leben lang bestehen bleibt (BGE 133 V 224 E. 5.1 S. 230). Gemäss Art. 25 Abs. 2 UVG regelt der Bundesrat die Bemessung der Entschädigung. Von dieser Befugnis hat er in Art. 36 UVV Gebrauch gemacht. Abs. 1 dieser Vorschrift bestimmt, dass ein Integritätsschaden als dauernd gilt, wenn er voraussichtlich während des ganzen Lebens mindestens in gleichem Umfang besteht. Er ist erheb- 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 sig erkannten, nicht abschliessenden Skala häufig vorkommende und typi- sche Schäden prozentual gewichtet (BGE 124 V 29 E. 1b S. 32). Für spe- zielle oder nicht aufgeführte Integritätsschäden wird die Entschädigung nach dem Grad der Schwere vom Skalenwert abgeleitet (Ziff. 1 Abs. 2 des Anhangs 3; BGE 116 V 156 E. 3a S. 157).</w:t>
      </w:r>
    </w:p>
    <w:p>
      <w:r>
        <w:rPr>
          <w:b/>
        </w:rPr>
        <w:t>E. 2.3.3</w:t>
      </w:r>
    </w:p>
    <w:p>
      <w:r>
        <w:t>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Urteil des Bundesgerichts [BGer] 8C_415/2023 vom 3. Oktober 2024 E. 3, zur Publikation vorgesehen). Unerheblich ist, ob die Schädigung dank eines Hilfsmittels mehr oder weni- ger vollständig ausgeglichen werden kann mit der Folge, dass sie sich im täglichen Leben nicht mehr oder nur noch in geringem Mass nachteilig aus- wirkt. Die Bemessung des Integritätsschadens bei Funktionsausfall oder Gebrauchsunfähigkeit eines Organs hat daher z.B. bei der Versorgung mit Endoprothesen nach dem unkorrigierten Zustand zu erfolgen (Urteil des Urteil des Verwaltungsgerichts des Kantons Bern vom 6. Februar 2025, UV 200 2024 525 -8- BGer 8C_415/2023 vom 3. Oktober 2024 E. 3, zur Publikation vorgese- hen). Die Integritätsentschädigung der Unfallversicherung unterscheidet sich von der privatrechtlichen Genugtuung, mit welcher der immaterielle Nachteil in- dividuell unter Würdigung der besonderen Umstände bemessen wird. Es lassen sich im Gegensatz zur Bemessung der Genugtuungssumme im Zi- vilrecht ähnliche Unfallfolgen miteinander vergleichen und auf medizini- scher Grundlage allgemeingültige Regeln zur Bemessung des Integritäts- schadens aufstellen; spezielle Behinderungen der betroffenen Personen durch den Integritätsschaden bleiben dabei unberücksichtigt (BGE 115 V 147 E. 1, 113 V 218 E. 4b S. 221; SVR 2023 UV Nr. 45 S. 158, 8C_656/2022 E. 3.2). Die Bemessung des Integritätsschadens hängt nicht von den besonderen Umständen des Einzelfalles ab; auch geht es bei ihr nicht um die Schät- zung erlittener Unbill, sondern um die medizinisch-theoretische Ermittlung der Beeinträchtigung der körperlichen oder geistigen Integrität, wobei sub- jektive Faktoren ausser Acht zu lassen sind (BGE 115 V 147 E. 1 S. 147, 113 V 218 E. 4b S. 221; SVR 2023 UV Nr. 45 S. 158, 8C_656/2022 E. 3.2).</w:t>
      </w:r>
    </w:p>
    <w:p>
      <w:r>
        <w:rPr>
          <w:b/>
        </w:rPr>
        <w:t>E. 2.4</w:t>
      </w:r>
    </w:p>
    <w:p>
      <w:r>
        <w:t>Zur Beurteilung sozialversicherungsrechtlicher Leistungsansprüche bedarf es verlässlicher medizinischer Entscheidgrundlagen (BGE 134 V 231 E. 5.1 S. 232). In einem ersten Schritt obliegt es der medizinischen Fachperson, sich unter Einbezug der in Anhang 3 der UVV und in den Su- va-Tabellen aufgeführten Integritätsschäden dazu zu äussern, ob und inwiefern ein Schaden vorliegt, welcher dem Typus von Verordnung, Anhang oder Weisung entspricht. Aufgabe von Verwaltung oder Gericht ist es aber, gestützt auf die ärztliche Befunderhebung die rechtliche Beurteilung vorzunehmen, ob ein Integritätsschaden gegeben ist, ob die Erheblichkeitsschwelle erreicht ist und, bejahendenfalls, welches Ausmass die erhebliche Schädigung angenommen hat. Obschon sich die rechtsanwendenden Behörden an die medizinischen Angaben zu halten haben, fällt die Beurteilung des Integritätsschadens als Grundlage des gesetzlichen Leistungsanspruchs letztlich in ihren Aufgabenbereich (vgl. Urteil des BGer 8C_746/2022 vom 18. Oktober 2023 E. 4.2). Urteil des Verwaltungsgerichts des Kantons Bern vom 6. Februar 2025, UV 200 2024 525 -9-</w:t>
      </w:r>
    </w:p>
    <w:p>
      <w:r>
        <w:rPr>
          <w:b/>
        </w:rPr>
        <w:t>E. 3</w:t>
      </w:r>
    </w:p>
    <w:p>
      <w:r>
        <w:t>Es steht zu Recht ausser Diskussion, dass das Ereignis vom 7. September 2021, bei welchem dem Beschwerdeführer drei Finger abgetrennt wurden (act. II 2), einen Unfall im Rechtssinne (Art. 4 ATSG) darstellt (vgl. E. 2.1 hiervor) und die erlittenen Verletzungen sowohl in einem natürlichen als auch adäquaten Kausalzusammenhang (vgl. E. 2.2 hiervor) zu diesem stehen.</w:t>
      </w:r>
    </w:p>
    <w:p>
      <w:r>
        <w:rPr>
          <w:b/>
        </w:rPr>
        <w:t>E. 4.1</w:t>
      </w:r>
    </w:p>
    <w:p>
      <w:r>
        <w:t>Zu den beim Unfall erlittenen Verletzungen der linken Hand lässt sich den medizinischen Akten im Wesentlichen das Folgende entnehmen:</w:t>
      </w:r>
    </w:p>
    <w:p>
      <w:r>
        <w:rPr>
          <w:b/>
        </w:rPr>
        <w:t>E. 4.1.1</w:t>
      </w:r>
    </w:p>
    <w:p>
      <w:r>
        <w:t>Nach dem Ereignis vom 7. September 2021 wurde eine pluridigitale Amputation Dig II-IV (II/III Trans P2, IV Trans DIP) links diagnostiziert (act. II 30/2, 31/2, 40/1, 42/2, 46/2, 52/1, 65/2, 80/2) und es erfolgten in der Klinik E.________ folgende operative Eingriffe: •</w:t>
      </w:r>
    </w:p>
    <w:p>
      <w:r>
        <w:rPr>
          <w:b/>
        </w:rPr>
        <w:t>E. 4.1.2</w:t>
      </w:r>
    </w:p>
    <w:p>
      <w:r>
        <w:t>Kreisarzt Dr. med. C.________ führte in der ärztlichen Beurteilung vom 11. Juli 2022 (act. II 87) aus, von einer weiteren Behandlung der Un- fallfolgen könne nicht mit überwiegender Wahrscheinlichkeit noch eine we- sentliche oder namhafte Besserung des Gesundheitszustandes erwartet werden. Trotzdem werde die Fortführung der aktuellen ergotherapeuti- schen Behandlung empfohlen, da es dadurch wohl noch zu einer leichten Verbesserung der Fingerfunktion Dig III. kommen könne. Es bestehe durch die Teilamputation von Dig II und Dig IV sowie der noch vorhandenen Hy- posensibilität und eingeschränkten Beweglichkeit des Mittelfingers ein mit- telgradig eingeschränktes Belastbarkeitsprofil bei zumutbarem ganztägigen Einsatz. Dies habe vor allem noch Auswirkungen auf die Faustschlusskraft sowie die Kraftbelastbarkeit des Präzisionsgriffes. Insgesamt könne die betroffene Hand als Hilfshand verwendet werden. Die andere Hand alleine sei jedoch uneingeschränkt belastbar.</w:t>
      </w:r>
    </w:p>
    <w:p>
      <w:r>
        <w:rPr>
          <w:b/>
        </w:rPr>
        <w:t>E. 4.1.3</w:t>
      </w:r>
    </w:p>
    <w:p>
      <w:r>
        <w:t>Kreisarzt Dr. med. C.________ hat in der medizinischen Beurteilung vom 11. Juli 2022 (act. II 88) die in den Berichten der Klinik E.________ gestellte Diagnose übernommen. Er führte weiter aus, die subjektive Hand- funktion werde in der Abschlusskontrolle vom 17. Mai 2022 auf 50 % beur- teilt. Vor allem motorische Tätigkeiten bereiteten Mühe, da Dig. II und Dig. IV partiell amputiert seien und der Dig. III noch eine Hyposensibilität auf- wiese. Schmerzen bestünden keine. Gestützt auf die "Tabelle 3 UVG Inte- gritätsschaden bei einfachen und kombinierten Fingerverlusten", auch im Quervergleich, sei ein Integritätsschaden von 7.5 % gerechtfertigt.</w:t>
      </w:r>
    </w:p>
    <w:p>
      <w:r>
        <w:rPr>
          <w:b/>
        </w:rPr>
        <w:t>E. 4.2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 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Urteil des Verwaltungsgerichts des Kantons Bern vom 6. Februar 2025, UV 200 2024 525 -13-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 wert ist grundsätzlich somit weder die Herkunft ei- nes Beweismittels noch die Bezeichnung der eingereichten oder in Auftrag gegebenen Stellungnahme als Bericht oder Gutachten, sondern dessen In- halt (BGE 143 V 124 E. 2.2.2 S. 126, 134 V 231 E. 5.1 S. 232, 125 V 351 E. 3a S. 352). Den Berichten und Gutachten versicherungsinterner Ärzte kommt Beweis- wert zu, sofern sie als schlüssig erscheinen, nachvollziehbar begründet so- wie in sich widerspruchsfrei sind und keine Indizien gegen ihre Zuverlässig- keit bestehen (BGE 125 V 351 E. 3b ee S. 354; SVR 2022 UV Nr. 3 S. 7, 8C_131/2021 E. 3.2). Soll ein Versicherungsfall ohne Einholung eines ex- ternen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Auch reine Aktengutachten können beweiskräftig sein, sofern ein lückenlo- ser Befund vorliegt und es im Wesentlichen nur um die fachärztliche Beur- teilung eines an sich feststehenden medizinischen Sachverhalts geht, mit- Urteil des Verwaltungsgerichts des Kantons Bern vom 6. Februar 2025, UV 200 2024 525 -14- hin die direkte ärztliche Befassung mit der versicherten Person in den Hin- tergrund rückt (SVR 2020 IV Nr. 38 S. 133, 9C_651/2019 E. 4.3).</w:t>
      </w:r>
    </w:p>
    <w:p>
      <w:r>
        <w:rPr>
          <w:b/>
        </w:rPr>
        <w:t>E. 4.3</w:t>
      </w:r>
    </w:p>
    <w:p>
      <w:r>
        <w:t>Die Beschwerdegegnerin hat sich im hier angefochtenen Einspra- cheentscheid vom 1. Juli 2024 (act. II 157) im Wesentlichen auf die kreisärztlichen Beurteilungen von Dr. med. C.________ vom 11. Juli 2022 (act. II 87 f.) gestützt. Diese erfüllen die von der höchstrichterlichen Recht- sprechung an den Beweiswert eines medizinischen Aktengutachtens ge- stellten Anforderungen (vgl. E. 4.2 hiervor). Sie sind schlüssig begründet und wurden unter Berücksichtigung und in Würdigung sämtlicher medizini- scher Vorakten erstellt, so dass auf die darin enthaltenen Feststellungen abzustellen ist. Dass der Facharzt für Chirurgie keine klinische Exploration des Beschwerdeführers vornahm, ist nicht zu beanstanden, konnte er sich aufgrund der medizinischen Akten einschliesslich der klinischen und bildge- benden Abklärungen doch ein gesamthaft lückenloses Bild verschaffen und hat gestützt darauf eine Integritätsentschädigung von 7.5 % ermittelt. Daran vermögen die übrigen medizinischen Akten wie auch die Vorbringen des Beschwerdeführers – wie nachfolgend dargelegt – nichts zu ändern. Der Vorwurf des Beschwerdeführers, Dr. med. C.________ begnüge sich mit "sehr rudimentären Ausführungen" und die Beschwerdegegnerin liefere "keine weiteren qualifizierten Begründungen" (Beschwerde S. 6 Rz. 19), er- weist sich als unbegründet. Dr. med. C.________ hat bei seinen Beurtei- lungen die Befunde sämtlicher in Mitleidenschaft gezogenen Finger berück- sichtigt und nachvollziehbar und schlüssig begründet ausgeführt, dass gemäss der unbestrittenerweise zu Recht beigezogenen Suva-Tabelle 3 "Integritätsschaden bei einfachen oder kombinierten Finger-, Hand- und Armverlusten" (nachfolgend Suva-Tabelle 3), welche den Anhang 3 zur UVV präzisiert, "auch im Quervergleich" im vorliegenden Fall die Annahme eines Integritätsschadens von 7.5 % gerechtfertigt ist. Damit konnte gerade nicht eine genaue Abbildung in der besagten Suva-Tabelle 3 benannt wer- den (vgl. zum diesbezüglichen Vorwurf Beschwerde S. 10 Rz. 44). Die Be- urteilungen von Dr. med. C.________ ergingen in Kenntnis sämtlicher vor- liegender Akten (act. II 87/1 ff.). Insbesondere wurde in dessen ärztlichen Beurteilungen vom 11. Juli 2022 der in der Beschwerde mehrfach zitierte Bericht der Klinik E.________ vom 30. Mai 2022 (act. II 80/2) umfassend Urteil des Verwaltungsgerichts des Kantons Bern vom 6. Februar 2025, UV 200 2024 525 -15- berücksichtigt und gewürdigt bzw. gestützt auf die darin erhobenen Dia- gnosen, Befunde und handchirurgisch festgestellten Einschränkungen die Beurteilung zum Integritätsschaden abgegeben. Ein höherer Integritäts- schaden lässt sich nicht begründen und der Einwand des Beschwerdefüh- rers, im Entscheid der Beschwerdegegnerin und damit implizit auch in den Beurteilungen von Dr. med. C.________ würden die vom Beschwerdefüh- rer erlittenen Verletzungen "verharmlost oder nicht richtig berücksichtigt" (Beschwerde S. 7 Rz. 26), vermag nicht zu überzeugen. Indem dem Be- schwerdeführer eine Integritätsentschädigung entsprechend einer Inte- gritätseinbusse von 7.5 % zusprach, hat die Beschwerdegegnerin explizit eine unfallbedinge dauernde und insbesondere auch eine erhebliche Schä- digung im Sinne von Art. 24 Abs. 1 UVG anerkannt. Weiter kann dem Vor- bringen des Beschwerdeführers, seine Verletzungen seien "am ehesten" mit der Verletzung in der Abbildung 31 der Suva-Tabelle 3 zu vergleichen, bei welchem eine Integritätsentschädigung gemäss einer Integritätseinbus- se von 15 % geschuldet sei (Beschwerde S. 10 Rz. 47), nicht gefolgt wer- den. Wie die Beschwerdegegnerin zu Recht darauf hinweist (vgl. Be- schwerdeantwort S. 3 f. Ziff. 5), musste beim Beschwerdeführer nur (aber doch immerhin) Dig II auf Höhe P1 und Dig IV auf Höhe P2 partiell ampu- tiert werden und konnte Dig III replantiert werden, weist jedoch eine Hypo- sensibilität auf. Diese unbestrittenen medizinischen Gegebenheiten wurden durch Dr. med. C.________ allesamt bei seinen Beurteilungen berücksich- tigt und zwar und entgegen der Annahme des Beschwerdeführers (Be- schwerde S. 7 Rz. 27) in ihrer Gesamtheit und nicht in einer simplen Addi- tion einzelner Verletzungen bzw. theoretischen Rechnungsbeispielen, wie sie vielmehr der Beschwerdeführer selbst vornimmt (Beschwerde S. 8 ff. Rz. 36 ff.). Auch ist vorliegend irrelevant, ob die Verletzungen "kosmetisch auffällig" (Beschwerde S. 8 Rz. 28) sind. Wie die Beschwerdegegnerin zu Recht darauf hinweist (Beschwerdeantwort S. 4 Ziff. 5.3) beurteilt sich die Schwere des Integritätsschadens ausschliesslich nach dem medizinischen Befund (vgl. E. 2.3.3 hiervor). Weiter ist der vorliegende Fall – entgegen der beschwerdeweise vertretenen Auffassung (S. 10 Rz. 49 f.) – auch nicht mit dem Sachverhalt, welcher BGer 8C_390/2011 vom 10. August 2011 zu Grunde lag, vergleichbar. Dort lagen einerseits unbestrittenermassen und anders als im vorliegenden Fall (vgl. Verlaufsbericht der Klinik E.________ vom 18. Februar 2022 [act. II 52]; vgl. auch Beschwerdeantwort S. 4 Urteil des Verwaltungsgerichts des Kantons Bern vom 6. Februar 2025, UV 200 2024 525 -16- Ziff. 5.3) Dauerschmerzen vor (E. 5.2.4) und die Verletzung der dominanten Hand entsprach Abbildung 28 der Suva-Tabelle 3 – vollständige Amputati- on Dig II und III (E. 7). Aber auch nicht mit dem angeführten Urteil des Eid- genössischen Versicherungsgerichts (EVG; heute BGer) U 224/2005 vom 5. August 2005. Auch dort lagen starke Schmerzen (E. 2.2.1) vor, insbe- sondere deswegen die Festsetzung des Integritätsschadens auf 10 % er- folgte (E. 2.2.2). Aufgrund des Dargelegten entspricht die Situation des Beschwerdeführers nicht exakt einer Abbildung der Suva-Tabelle 3. Die Amputation am Dig II alleine würde zu einer Integritätsentschädigung von 0 % und am Dig IV von 5 % führen. Hinzu kommt die nachgewiesene Funktionseinschränkung des Dig III, so dass übereinstimmend mit den Ausführungen von Suva-Kreisarzt Dr. med. C.________ sich eine Integritätsentschädigung von 7.5 % auch im Quervergleich rechtfertigt (vgl. diesbezüglich auch Urteil des BGer 8C_450/2020 vom 15. September 2020 E. 5.1 f.). Schliesslich werden kei- nerlei medizinischen Berichte ins Recht gelegt – beispielsweise vom Hand- chirurgen – welche Zweifel an der Einschätzung von Suva-Kreisarzt und Facharzt für Chirurgie Dr. med. C.________ zu wecken vermöchten. Damit ist nicht zu beanstanden, dass die Beschwerdegegnerin mit dem die Verfü- gung vom 6. April 2023. (act. II 135) bestätigenden Einspracheentscheid vom 1. Juli 2024 (act. II 157) einen Anspruch auf eine Integritätsentschädi- gung in Höhe von 7.5 % festsetzte bzw. eine höhere Entschädigung ver- neinte. Die dagegen erhobene Beschwerde ist damit abzuweisen. 5. 5.1 In Anwendung von Art. 1 Abs. 1 UVG i.V.m. Art. 61 lit. fbis ATSG (Umkehrschluss; vgl. auch BBl 2018 1639) sind keine Verfahrenskosten zu erheben. 5.2 Bei diesem Verfahrensausgang hat der Beschwerdeführer keinen Anspruch auf eine Parteientschädigung (Umkehrschluss aus Art. 1 Abs. 1 UVG i.V.m. Art. 61 lit. g ATSG). Urteil des Verwaltungsgerichts des Kantons Bern vom 6. Februar 2025, UV 200 2024 525 -17- Die obsiegende Beschwerdegegnerin hat als Sozialversicherungsträgerin nach allgemeinem sozialversicherungsrechtlichem Prozessgrundsatz kei- nen Anspruch auf eine Parteientschädigung (vgl. BGE 128 V 124 E. 5b S. 133). Demnach entscheidet die Einzelrichterin: 1. Die Beschwerde wird abgewiesen. 2. Es werden weder Verfahrenskosten erhoben noch wird eine Parteien- tschädigung zugesprochen 3. Zu eröffnen (R): - Rechtsanwalt B.________ z.H. des Beschwerdeführers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September 2021: Replantation Dig II-IV; Arthrodese DIP IV, KD-Os- teosynthese je 2x1.0 mm; Beugesehnennaht Dig II nach Lim/Tsai, Dig III nach modifizierter Savage Naht; je 2 Arterien ausser Dig IV nur radiale Digitopalmararterie; je 2 Venen dorsal; je 2 Neurorrhaphien (vgl. Operationsbericht vom 24. September 2021 [act. II 30/2]) •</w:t>
      </w:r>
    </w:p>
    <w:p>
      <w:r>
        <w:rPr>
          <w:b/>
        </w:rPr>
        <w:t>E. 11</w:t>
      </w:r>
    </w:p>
    <w:p>
      <w:r>
        <w:t>September 2021: Revision Replantation Dig II mit erneut 4 venösen Anastomosen Dig II dorsal (2 mit gutem Flow), erneut Hautnaht (vgl. Operationsbericht vom 13. September 2021 [act. II 16]) • 18. September 2021: Nekrosenabtragung Dig II und Dig IV links, Stumpfversorgung Dig II Höhe P1, Dig IV Höhe P2 (vgl. Operationsbe- richt vom 23. September 2021 [act. II 32/2]) Dem weiteren Verlauf ist das Folgende zu entnehmen: Der Beschwerdeführer konnte am 20. September 2021 die Klinik E.________ verlassen (vgl. Austrittsbericht vom 24. September 2021 [act. II 31/2]). Im Verlaufsbericht vom 2. November 2021 (act. II 40) wurde über einen zufriedenstellenden Verlauf sieben Wochen posttraumatisch nach den durchgeführten Operationen berichtet. Der Beschwerdeführer habe keine Urteil des Verwaltungsgerichts des Kantons Bern vom 6. Februar 2025, UV 200 2024 525 -10- Schmerzen gezeigt. Es bestehe in der klinischen Untersuchung ein leichtes Tinelphänomen über den Neurorrhaphiestellen. Eine Allodynie oder Hy- peralgesie könne ausgeschlossen werden. In der konventionell radiologi- schen Untersuchung vom 20. Oktober 2021 zeige sich keine eindeutige Konsolidation der Fraktur in der Mittelphalanx Dig III. Im Verlaufsbericht vom 25. November 2021 (act. II 42/2) wurde berichtet, dass sich leider weiterhin keine ossäre Konsolidierung des P2 am Dig III der linken Hand zeige. Es werde daher entschieden, die K-Drähte noch weiter zu belassen. Der Beschwerdeführer verneine weiterhin das Vorlie- gen von Schmerzen. Im Verlaufsbericht vom 3. Januar 2022 (act. II 46/2) wurde gestützt auf eine klinische und eine radiologische Verlaufsuntersuchung vom 28. Dezember 2021 (act. II 48) über einen insgesamt regelrechten Verlauf dreieinhalb Mo- nate postoperativ berichtet. Der Beschwerdeführer habe selten Schmerzen und nehme schon lange keine Schmerzmittel mehr ein. Dig II und IV seien problemlos. Die Beweglichkeit habe sich hier sehr gut verbessert. Auch die Sensibilität sei recht gut an den proximalen Stümpfen. Diese seien schön rund. Die Silikonfingerlinge könnten hier problemlos weggelassen werden. An Dig III werde das PIP bis jetzt nicht mobilisiert, dies solle nun aktiv und passiv erfolgen. Im Bereich der Mittelphalanx solle noch nicht zu stark for- ciert werden, da diese erst partiell konsolidiert sei. Nichtsdestotrotz sei der Finger nach Replantation jetzt ziemlich steif, da das PIP nicht mobilisiert worden sei aufgrund der nicht verheilten Osteosynthese, was nun erfolgen solle. Am DIP dürfe ebenfalls mobilisiert werden. Hier werde aber nicht er- wartet, dass sich die Beweglichkeit signifikant erhole. Die Stellung sei je- doch auch so recht funktionell. Die Kraft dürfe ebenfalls aufgebaut werden. Gemäss dem Verlaufsbericht vom 18. Februar 2022 (act. II 52) berichtete der Beschwerdeführer in der Untersuchung vom 10. Februar 2022, es gehe ihm immer besser. Er spüre keine Schmerzen, kein Elektrisieren und keine Parästhesien der Hände. Ab und zu seien die Stümpfe etwas kälteempfind- lich, weswegen er die Kälte meide. Damit gehe es ihm eigentlich sehr gut. Die Silikonfingerlinge trage er zum Schutz vor Kälte, damit komme er gut zurecht. Die Untersucher hielten nach vorgängig durchgeführter radiologi- scher Untersuchung (act. II 56) im Bericht fest, den rechtsdominanten Be- Urteil des Verwaltungsgerichts des Kantons Bern vom 6. Februar 2025, UV 200 2024 525 -11- schwerdeführer schränke die Verletzung im Alltag nur leicht ein. Insgesamt bestehe fünf Monate postoperativ ein sehr guter Verlauf vor. Dig II und IV machten weiterhin keine Probleme. Die Beweglichkeit habe sich ubiquitär verbessert. Die Sensibilität an den Stümpfen wie auch an Dig III sei sehr gut. Die PIP-Mobilisation von Dig III solle weiterhin erfolgen, die DIP-Mobili- sation sei nun auch erlaubt, jedoch ohne Krafteinwirkung, dies aufgrund der nicht vollständigen Konsolidation der Fraktur im P2. Gemäss Verlaufsbericht vom 14. April 2022 (act. II 65/2) gehe es dem Be- schwerdeführer besser; die Kälteempfindlichkeit sei etwas besser gewor- den. Die Untersucher hielten nach vorgängiger klinischer und radiologi- scher Untersuchung am 5. April 2022 fest, es bestehe weiterhin eine Flexi- onseinschränkung im MCP Dig II sowie PIP Dig III. Zusätzlich liege ein Ex- tensionsdefizit des DIP an Dig III vor. Wie der Beschwerdeführer berichte, sei die Mobilisation noch recht vorsichtig erfolgt. Die Flexbänder und Streckschiene für das DIP seien bis jetzt nicht verwendet worden. Dieses sollte nun etwas aggressiver nachbehandelt werden, der Knochen sei kon- solidiert. Im Verlaufsbericht vom 30. Mai 2022 (act. II 80/2) wurde berichtet, acht Mo- nate postoperativ habe sich subjektiv die Beweglichkeit, vor allem des Dig III, etwas verbessert. Die Kälteempfindlichkeit sei aktuell nicht mehr so schlimm, jedoch bestehe noch eine Fingersteifigkeit. Die subjektive Hand- funktion sei von 40 % auf 50 % verbessert. Vor allem motorische Tätigkei- ten bereiteten dem Beschwerdeführer Mühe, da der Dig II und Dig IV parti- ell amputiert seien und der Dig IIII noch eine Hyposensibilität aufweise. Schmerzmittel müsse er keine einnehmen. Die Untersucher gingen nach vorgängig durchgeführter radiologischer Abklärung davon aus, dass sich zwar die Beweglichkeit am DIP noch etwas verändern und auch die Sensi- bilität am Dig III noch etwas verbessern könne, im Grossen und Ganzen sei jedoch der Endzustand wohl erreicht. Es bleibe links eine eingeschränkte Handfunktion, die sich durch ein Kraft- sowie auch Sensibilitätsdefizit und aus den verkürzten teilamputierten Fingern ergebe. Die Handfunktion wer- de sich wahrscheinlich nicht mehr relevant verbessern. Die handchirurgi- schen Kontrollen würden abgeschlossen. Urteil des Verwaltungsgerichts des Kantons Bern vom 6. Februar 2025, UV 200 2024 525 -12-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