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409 vom 3. Dezember 2025</w:t>
      </w:r>
    </w:p>
    <w:p>
      <w:r>
        <w:t>BE Verwaltungsgericht, 2025-12-03, DE</w:t>
      </w:r>
    </w:p>
    <w:p>
      <w:r>
        <w:rPr>
          <w:b/>
        </w:rPr>
        <w:t xml:space="preserve">Quelle: </w:t>
      </w:r>
      <w:r>
        <w:t>https://mcp.opencaselaw.ch/entscheid/be_verwaltungsgericht_200_2024_409</w:t>
      </w:r>
    </w:p>
    <w:p>
      <w:r>
        <w:t>FR: BE_VERWALTUNGSGERICHT 200 2024 409 du 3 décembre 2025</w:t>
      </w:r>
    </w:p>
    <w:p>
      <w:r>
        <w:t>IT: BE_VERWALTUNGSGERICHT 200 2024 409 del 3 dicembre 2025</w:t>
      </w:r>
    </w:p>
    <w:p>
      <w:pPr>
        <w:pStyle w:val="Heading2"/>
      </w:pPr>
      <w:r>
        <w:t>Regeste</w:t>
      </w:r>
    </w:p>
    <w:p>
      <w:r>
        <w:t>Verfügung vom 3. Mai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w:t>
      </w:r>
    </w:p>
    <w:p>
      <w:r>
        <w:t>Urteil des Verwaltungsgerichts des Kantons Bern vom 3. Dez. 2025, IV 200 2024 409 - 4 - 11.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Anfechtungsobjekt bildet die Verfügung vom 3. Mai 2024 (act. II 182).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Am 1. Januar 2022 sind die Änderungen vom 19. Juni 2020 des IVG (Weiterentwicklung der IV [WEIV]) und weiterer Erlasse, insbesondere des ATSG und der Verordnung vom 17. Januar 1961 über die Invalidenversi- cherung (IVV; SR 831.201),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Anmeldung zum Rentenbezug erfolgte im Mai 2017 (act. II 1), womit ein Rentenanspruch frühestens im November 2017 entstanden sein</w:t>
      </w:r>
    </w:p>
    <w:p>
      <w:r>
        <w:t>Urteil des Verwaltungsgerichts des Kantons Bern vom 3. Dez. 2025, IV 200 2024 409 - 5 - kann (Art. 29 Abs. 1 IVG). Demnach ist nach der bis zum 31. Dezember 2021 geltenden Rechtslage zu beurteilen, ob bis zu diesem Zeitpunkt ein Rentenanspruch entstanden ist. Soweit Revisionsgründe vorliegen, ist bei deren Eintritt vor dem 1. Januar 2022 ebenfalls aufgrund der bis zum 31. Dezember 2021 geltenden Rechtslage zu beurteilen, ob die Verände- rung Auswirkungen auf einen allfälligen Rentenanspruch hat; soweit sie sich nach dem 1. Januar 2022 verwirklicht haben, erfolgt die Prüfung nach dem seit 1. Januar 2022 gültigen Recht. Soweit die Änderung von Art. 26bis Abs. 3 IVV per 1. Januar 2024 betreffend vgl. E. 6.6 hiernach.</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2.3</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 arbeitsunfähig (Art. 6 ATSG) gewesen sind und nach Ablauf dieses Jahres zu mindestens 40 % invalid (Art. 8 ATSG) sind (lit. b und c). Gemäss Art. 28 Abs. 2 IVG (in Kraft bis am 31. Dezember 2021) besteht der Anspruch auf eine ganze Rente, wenn die versicherte Person mindes- tens 70 %, derjenige auf eine Dreiviertelsrente, wenn sie mindestens 60 % invalid ist. Bei einem Invaliditätsgrad von mindestens 50 % besteht An-</w:t>
      </w:r>
    </w:p>
    <w:p>
      <w:r>
        <w:t>Urteil des Verwaltungsgerichts des Kantons Bern vom 3. Dez. 2025, IV 200 2024 409 - 6 - spruch auf eine halbe Rente und bei einem Invaliditätsgrad von mindestens 40 % ein solcher auf eine Viertelsrente. Gemäss Art. 28b Abs. 1 IVG (in Kraft seit dem 1. Januar 2022) wird die Hö- he des Rentenanspruchs in prozentualen Anteilen an einer ganzen Rente festgelegt. Bei einem Invaliditätsgrad von 50 bis 69 % entspricht der pro- zentuale Anteil dem Invaliditätsgrad (Art. 28b Abs. 2 IVG), bei einem Invali- ditätsgrad ab 70 % besteht Anspruch auf eine ganze Rente (Art. 28b Abs. 3 IVG). Bei einem Invaliditätsgrad zwischen 40 und 49 % gelten die prozentu- alen Anteile nach Massgabe von Art. 28b Abs. 4 IVG.</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rPr>
          <w:b/>
        </w:rPr>
        <w:t>E. 3.1</w:t>
      </w:r>
    </w:p>
    <w:p>
      <w:r>
        <w:t>In medizinischer Hinsicht stützt sich die Beschwerdegegnerin in der angefochtenen Verfügung vom 3. Mai 2024 (act. II 182) im Wesentlichen auf die interdisziplinäre MEDAS-Gesamtbeurteilung vom 31. Januar 2024 [act. II 174.1]). Darin wurden folgende Diagnosen mit Auswirkung auf die Arbeitsfähigkeit gestellt (S. 6 Ziff.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