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347 vom 26. März 2024</w:t>
      </w:r>
    </w:p>
    <w:p>
      <w:r>
        <w:t>BE Verwaltungsgericht, 2024-03-26, DE</w:t>
      </w:r>
    </w:p>
    <w:p>
      <w:r>
        <w:rPr>
          <w:b/>
        </w:rPr>
        <w:t xml:space="preserve">Quelle: </w:t>
      </w:r>
      <w:r>
        <w:t>https://mcp.opencaselaw.ch/entscheid/be_verwaltungsgericht_200_2024_347</w:t>
      </w:r>
    </w:p>
    <w:p>
      <w:r>
        <w:t>FR: BE_VERWALTUNGSGERICHT 200 2024 347 du 26 mars 2024</w:t>
      </w:r>
    </w:p>
    <w:p>
      <w:r>
        <w:t>IT: BE_VERWALTUNGSGERICHT 200 2024 347 del 26 marzo 2024</w:t>
      </w:r>
    </w:p>
    <w:p>
      <w:pPr>
        <w:pStyle w:val="Heading2"/>
      </w:pPr>
      <w:r>
        <w:t>Regeste</w:t>
      </w:r>
    </w:p>
    <w:p>
      <w:r>
        <w:t>Verfügung vom 26.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Zwischenverfügung vom 26. März 2024 (act. IIa 340). Streitig und zu prüfen ist die Anordnung einer Verlaufs- begutachtung bei der MEDAS E.________.</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 2. 2.1 Am 1. Januar 2022 sind die Änderung vom 19. Juni 2020 des IVG sowie die Änderung vom 3. November 2021 der Verordnung vom 17. Ja- nuar 1961 über die Invalidenversicherung (IVV; SR 831.201) in Kraft getre- ten (AS 2021 705 [Weiterentwicklung der IV] bzw. AS 2021 706), was mit Änderungen des ATSG sowie der Verordnung vom 11. September 2002 über den Allgemeinen Teil des Sozialversicherungsrechts (ATSV; SR 830.11) einhergegangen ist. Nach der Rechtsprechung sind neue Verfah- rensvorschriften grundsätzlich mit dem Tag des Inkrafttretens sofort und in vollem Umfange anwendbar, es sei denn, das neue Recht kenne anders- lautende Übergangsbestimmungen. Dieser intertemporalrechtliche Grund- satz kommt aber dort nicht zur Anwendung, wo hinsichtlich des verfahrensrechtlichen Systems zwischen altem und neuem Recht keine Kontinuität besteht und mit dem neuen Recht eine grundlegend neue Ver- fahrensordnung geschaffen worden ist (BGE 136 II 187 E. 3.1 S. 189, 132 V 93 E. 2.2 S. 96). Da mit der Gesetzesänderung per 1. Januar 2022 keine Übergangsbe- stimmungen erlassen wurden, welche die Vergabe von Begutachtungsauf- trägen betreffen, zudem mit dem neuen Recht keine grundlegend neue</w:t>
      </w:r>
    </w:p>
    <w:p>
      <w:r>
        <w:t>Urteil des Verwaltungsgerichts des Kantons Bern vom 31. Juli 2024, IV/24/347, Seite 6 Verfahrensordnung geschaffen wurde und die angefochtene Verfügung vom 26. März 2024 (act. IIa 340) und somit nach Inkrafttreten der Geset- zesänderung per 1. Januar 2022 datiert, ist der vorliegende Fall anhand der ab 1. Januar 2022 gültigen Bestimmungen zu beurteilen. 2.2 Der Versicherungsträger prüft die Begehren, nimmt die notwendigen Abklärungen von Amtes wegen vor und holt die erforderlichen Auskünfte ein (Art. 43 Abs. 1 ATSG). Er bestimmt die Art und den Umfang der not- wendigen Abklärungen (Art. 43 Abs. 1bis ATSG). Bis zum Erlass einer Ver- fügung entscheiden die IV-Stellen, welche Abklärungen massgebend und notwendig sind (Art. 57 Abs. 3 IVG). Der Untersuchungsgrundsatz besagt, dass die verfügende Instanz den rechtserheblichen Sachverhalt von Amtes wegen, aus eigener Initiative und ohne Bindung an die Vorbringen oder Beweisanträge der Parteien, abklären und feststellen muss. Rechtserheb- lich sind alle Tatsachen, von deren Vorliegen es abhängt, ob über den streitigen Anspruch so oder anders zu entscheiden ist. In diesem Rahmen haben Verwaltungsbehörden zusätzliche Abklärungen stets vorzunehmen oder zu veranlassen, wenn hiezu aufgrund der Parteivorbringen oder ande- rer sich aus den Akten ergebenden Anhaltspunkte hinreichender Anlass besteht (BGE 117 V 282 E. 4a S. 283).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2.4 Erachtet der Versicherungsträger im Rahmen von medizinischen Abklärungen ein Gutachten als notwendig, so legt er je nach Erfordernis eine der folgenden Arten fest (Art. 44 Abs. 1 ATSG): a. monodisziplinäres Gutachten;</w:t>
      </w:r>
    </w:p>
    <w:p>
      <w:r>
        <w:t>Urteil des Verwaltungsgerichts des Kantons Bern vom 31. Juli 2024, IV/24/347, Seite 7 b. bidisziplinäres Gutachten; c. polydisziplinäres Gutachten. Muss der Versicherungsträger zur Abklärung des Sachverhaltes ein Gut- achten bei einem oder mehreren unabhängigen Sachverständigen einho- len, so gibt er der Partei deren Namen bekannt. Diese kann innert zehn Tagen aus den Gründen nach Art. 36 Abs. 1 ATSG Sachverständige ab- lehnen und Gegenvorschläge machen (Art. 44 Abs. 2 ATSG). Mit der Be- kanntgabe der Namen stellt der Versicherungsträger der Partei auch die Fragen an den oder die Sachverständigen zu und weist sie auf die Mög- lichkeit hin, innert der gleichen Frist Zusatzfragen in schriftlicher Form ein- zureichen. Der Versicherungsträger entscheidet abschliessend über die Fragen an den oder die Sachverständigen (Art. 44 Abs. 3 ATSG). Hält der Versicherungsträger trotz Ablehnungsantrag an den vorgesehenen Sach- verständigen fest, so teilt er dies der Partei durch Zwischenverfügung mit (Art. 44 Abs. 4 ATSG). Medizinische Gutachten, an denen zwei Fachdisziplinen oder mehr beteiligt sind, haben bei einer Gutachterstelle oder einem Sachverständigen- Zweierteam zu erfolgen, mit der oder dem das BSV eine Vereinbarung ge- troffen hat (Art. 72bis Abs. 1 und 1bis IVV). Die Vergabe der Aufträge erfolgt nach dem Zufallsprinzip gemäss dem Zuweisungssystem "SuisseMED@P" (Art. 72bis Abs. 2 IVV; BGE 139 V 349 E. 2.2 S. 351). Eine Gutachterstelle darf im Rahmen eines laufenden Abklärungsverfah- rens ohne Zuhilfenahme des Zufallsprinzips mit dem polydisziplinären Ver- laufsgutachten beauftragt werden, wenn die von ihr erstattete Erstexpertise auf einer zufallsbasierten Auftragserteilung beruht hat (BGE 147 V 79). Verlaufsgutachten müssen innerhalb von drei Jahren ab dem Datum des Berichts der vorherigen Begutachtung in Auftrag gegeben werden (Rz. 3099 des Kreisschreibens des Bundesamtes für Sozialversicherungen [BSV] über das Verfahren in der Invalidenversicherung [KSVI] und BGE 147 V 79 E. 7.4.5 S. 84; zur Bedeutung von Verwaltungsweisungen vgl. BGE 148 V 385 E. 5.2 S. 391, 147 V 79 E. 7.3.2 S. 82, 146 V 224 E. 4.4.2 S. 228, 132 V 121 E. 4.4 S. 125).</w:t>
      </w:r>
    </w:p>
    <w:p>
      <w:r>
        <w:t>Urteil des Verwaltungsgerichts des Kantons Bern vom 31. Juli 2024, IV/24/347, Seite 8 2.5 Der Umstand, dass sich ein Sachverständiger schon einmal mit ei- ner Person befasst hat, schliesst später dessen Beizug als Gutachter nicht zum Vornherein aus. Eine unzulässige Vorbefassung liegt auch dann nicht vor, wenn er zu (für eine Partei) ungünstigen Schlussfolgerungen gelangt. Anderes gilt, wenn Umstände vorliegen, die den Anschein der Befangen- heit und die Gefahr der Voreingenommenheit objektiv zu begründen ver- mögen, etwa wenn die sachverständige Person ihren Bericht nicht neutral und sachlich abfasste (BGE 147 V 79 E. 7.4.4 S. 84, 132 V 93 E. 7.2.2 S. 110). Voreingenommenheit trotz Vorbefassung ist zu verneinen, wenn das Ergebnis der Begutachtung nach wie vor als offen und nicht vorbestimmt erscheint. Dies ist beispielsweise der Fall, wenn der Experte andere Fragen zu beantworten oder sein erstes Gutachten lediglich zu erläutern oder zu ergänzen hat, nicht aber, wenn er die Schlüssigkeit seiner früheren Exper- tise zu überprüfen hat (SVR 2013 IV Nr. 30 S. 90 E. 5.3.2). 3. 3.1 Es ist unbestritten (vgl. Beschwerde S. 2 Rechtsbegehren Ziff. 2), dass auf das MEDAS E.________-Gutachten vom 5. April 2022 (act. IIa 250.1 - 250.5 inklusive der ergänzenden Stellungnahme vom 8. Juni 2022 [act. IIa 254]) nicht ohne eine zusätzliche Begutachtung der seitherigen gesundheitlichen Entwicklung, insbesondere mit Operationen an der rech- ten Hüfte am 10. März 2022 (act. IIa 263/13; die Untersuchungen zum MEDAS E.________-Gutachten vom 5. April 2022 fanden am 18. und 23. Februar 2022 statt [act. IIa 250.1/3]) und an der Wirbelsäule am 17. Januar 2023 (act. IIa 273/2 - 4) abgestellt werden kann (vgl. zudem zur gesund- heitlichen Entwicklung insbesondere act. IIa 305/4 f. und 15 f., 308/3 - 5, 324/2 ff., 325/2 f.). Die Beschwerdeführerin macht geltend (Beschwerde S. 7 ff. B./b)/Ziff. 8 ff.), infolge einer Vorbefassung der MEDAS E.________- Gutachter sei eine ergebnisoffene Beurteilung der geltend gemachten Ver- schlechterung in Frage gestellt. Zudem sei ihr mit Schreiben vom 9. Januar 2024 eine Zuweisung der Gutachterstelle nach dem Zufallsprinzip in Aus- sicht gestellt worden.</w:t>
      </w:r>
    </w:p>
    <w:p>
      <w:r>
        <w:t>Urteil des Verwaltungsgerichts des Kantons Bern vom 31. Juli 2024, IV/24/347, Seite 9 3.2 Gemäss Art. 72bis Abs. 1, 1bis und 2 IVV müssen Aufträge über me- dizinische Gutachten, an denen zwei oder mehr Fachdisziplinen beteiligt sind, grundsätzlich nach dem Zufallsprinzip erfolgen (vgl. E. 2.4 hiervor). Die Auftragsvergabe nach dem Zufallsprinzip neutralisiert – zusammen mit den weiteren Vorgaben nach BGE 137 V 210 – generelle, aus den Rah- menbedingungen des Gutachterwesens fliessende Abhängigkeits- und Befangenheitsbefürchtungen; nicht einzelfallbezogene Bedenken werden gegenstandslos (BGE 139 V 349 E. 5.2.2.1 S. 355). Die Unabhängigkeit und Unbefangenheit der bestimmten Gutachterstelle gilt diesfalls generell und beschränkt sich in zeitlicher Hinsicht nicht bis zur Erstattung des Erst- gutachtens (BGE 147 V 79 E. 7.4.4 S. 84). Wird ein Verlaufsgutachten innerhalb von drei Jahren ab dem Datum des Berichts der vorherigen Begutachtung bei derselben Gutachterstelle in Auf- trag gegeben, die bereits das erste Gutachten erstellt hat, verstösst dies nicht gegen Art. 72bis Abs. 2 IVV bzw. Art. 57 Abs. 3 IVG (vgl. E. 2.2 und 2.4 hiervor), vorausgesetzt das Erstgutachten ist zufallsbasiert über die Plattform "…" vergeben worden (vgl. E. 2.4 hiervor). Vorliegend wurde das MEDAS E.________-Gutachten vom 5. April 2022 (act. IIa 250.1 - 250.5) mittels Zufallsprinzip über die Plattform "…" vergeben (act. IIa 231, 239) und der Auftrag für die Verlaufsbegutachtung bei der MEDAS E.________ wurde am 19. Februar 2024 erteilt (act. IIa 334), mithin innerhalb von drei Jahren seit dem Datum des ersten MEDAS E.________-Gutachtens. Der Umstand, dass die Gutachter der MEDAS E.________ die Beschwer- deführerin bereits einmal begutachtet haben, begründet praxisgemäss nicht den Anschein der Befangenheit und schliesst deren erneuten Beizug als Gutachter nicht zum vornherein aus. Entscheidend ist, dass das Ergebnis der Abklärung nach wie vor als offen und nicht vorbestimmt erscheint (vgl. E. 2.5 hiervor). Die Begutachtung bei der gleichen Abklärungsstelle kann den Aufschlusswert zur Beurteilung der medizinischen Entwicklung er- höhen, insbesondere wenn das Verlaufsgutachten durch einen bereits mit dem Fall vertrauten medizinischen Gutachter erfolgt (BGE 147 V 79 E. 7.4.4 S. 84; Entscheid des Bundesgerichts [BGer] vom 1. September 2011, 9C_1032/2010, E. 4.1).</w:t>
      </w:r>
    </w:p>
    <w:p>
      <w:r>
        <w:t>Urteil des Verwaltungsgerichts des Kantons Bern vom 31. Juli 2024, IV/24/347, Seite 10 Hinzu kommt, dass die Beschwerdeführerin einzig die Gutachterstelle als solche ablehnt, rechtsprechungsgemäss jedoch nur die für eine Behörde oder Institution tätigen Personen befangen sein können (BGE 137 V 210 E. 1.3.3 S. 227; SVR 2016 IV Nr. 8 S. 24 E. 3.3). Bislang ist noch nicht be- kanntgegeben worden, welche Sachverständigen der MEDAS E.________ das Verlaufsgutachten erstellen sollen. Beschwerdeweise wurde ein inkor- rektes oder unprofessionelles Verhalten der MEDAS E.________- Sachverständigen im Rahmen der Erstbegutachtung – welches gegen eine Verlaufsbegutachtung durch dieselben Personen sprechen würde – weder geltend gemacht noch wäre ein solches aus dem Gutachten vom 5. April 2022 (act. IIa 250.1 - 250.5) ersichtlich. Sobald die Bekanntgabe der Na- men erfolgt ist, wird die Beschwerdeführerin Gelegenheit erhalten, allfällige Ablehnungsgründe gegen die in Aussicht gestellten Sachverständigen gel- tend zu machen (Art. 44 Abs. 2 ATSG; vgl. E. 2.4 hiervor). 3.3 Inwiefern die MEDAS E.________-Gutachter in der Expertise vom 5. April 2022 (act. IIa 250.1 - 250.5) eine Prognose gestellt haben, welche sie im angeordneten Verlaufsgutachten nun erneut beurteilen müssten – wie die Beschwerdeführerin vorbringen lässt (Beschwerde S. 7 f. B./b)/Ziff. 8) – ist nicht ersichtlich. Vielmehr haben sie damals den Zustand bis zum Begutachtungszeitpunkt beurteilt; Gegenstand der neuerlichen Begutach- tung ist nicht die Schlüssigkeit ihrer früheren Beurteilung, sondern einzig die Entwicklung des Gesundheitszustandes in der Zeit nach der Erstbegut- achtung. Dementsprechend wurden von der Beschwerdegegnerin für die Verlaufsbegutachtung die fallspezifischen Fragen an die MEDAS E.________-Sachverständigen gerichtet, ob sich der Gesundheitszustand und die Arbeitsfähigkeit der Beschwerdeführerin gegenüber der Situation gemäss dem Gutachten vom 5. April 2022 respektive der Untersuchungen vom 18. und 23. Februar 2022 erheblich verändert hätten. Und falls ja, worin dies Veränderung bestehe und wie sie sich auf die Arbeitsfähigkeit der Beschwerdeführerin in der früheren und in einer leidensangepassten Tätigkeit auswirke (act. IIa 330/3, 334/4). Es ist daher sachgerecht, wenn die seitherige gesundheitliche Entwicklung von den mit dem Fall bereits vertrauten medizinischen Vorgutachtern abgeklärt wird (BGE 132 V 93 E. 7.2.2 S. 110; Entscheid des BGer vom 21. Januar 2016, 8C_665/2015, E. 4.2; vgl. auch E. 3.2 hiervor).</w:t>
      </w:r>
    </w:p>
    <w:p>
      <w:r>
        <w:t>Urteil des Verwaltungsgerichts des Kantons Bern vom 31. Juli 2024, IV/24/347, Seite 11 3.4 Was das Schreiben vom 9. Januar 2024 (act. IIa 321) angeht (vgl. Beschwerde S. 8 B./b)/Ziff. 9), mit welchem die Beschwerdegegnerin die Wahl der Gutachterstelle mittels Zufallsprinzip (Art. 72bis Abs. 2 IVV) in Aussicht gestellt hatte, fehlt es an der für die Berufung auf den Vertrauens- schutz vorausgesetzten nachteiligen Disposition (zum Vertrauensschutz vgl. BGE 146 I 105 E. 5.1.1 S. 110, 143 V 341 E. 5.2.1 S. 346, 143 V 95 E. 3.6.2 S. 103, 131 V 472 E. 5 S. 480; Entscheid des BGer vom 23. Au- gust 2023, 8C_646/2022 [zur Publikation vorgesehen], E. 5.1), wie die Be- schwerdegegnerin zu Recht einwendet (Beschwerdeantwort S. 3 C./Ziff. 11). Somit sind der Beschwerdeführerin daraus keine Ansprüche erwach- sen. 3.5 Nach dem Dargelegten ist die Zwischenverfügung vom 26. März 2024 (act. IIa 340) nicht zu beanstanden und die Beschwerde ist abzuwei- 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sind entspre- chend dem Ausgang des Verfahrens der Beschwerdeführerin zur Bezah- lung aufzuerlegen und dem geleisteten Kostenvorschuss in gleicher Höhe zu entnehmen. 4.2 Bei diesem Ausgang des Verfahrens besteht kein Anspruch auf eine Parteientschädigung (Art. 1 Abs. 1 IVG i.V.m. Art. 61 lit. g ATSG [Umkehr- schluss]).</w:t>
      </w:r>
    </w:p>
    <w:p>
      <w:r>
        <w:t>Urteil des Verwaltungsgerichts des Kantons Bern vom 31. Juli 2024, IV/24/347, Seite 12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Bei der Anordnung des Gutachtens handelt es sich um eine Zwischenver- fügung (Art. 44 Abs. 4 ATSG; zum anwendbaren Recht vgl. E. 2.1 hier- nach); solche können unter anderem dann angefochten werden, wenn sie einen nicht wieder gutzumachenden Nachteil bewirken können. Diese An- fechtbarkeitsvoraussetzung ist für das erstinstanzliche Beschwerdeverfah- ren in IV-Angelegenheiten zu bejahen, womit die entsprechende Verfügung unter Erhebung aller gesetzlich vorgesehenen Rügen rechtlicher und tatsächlicher Natur angefochten werden kann (vgl. BGE 138 V 271 E. 1.2.1 S. 275 und E. 1.2.3 S. 276, 137 V 210 E. 3.4.2.7 S. 256).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31. Juli 2024, IV/24/347, Seite 5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