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298 vom 20. November 2024</w:t>
      </w:r>
    </w:p>
    <w:p>
      <w:r>
        <w:t>BE Verwaltungsgericht, 2024-11-20, DE</w:t>
      </w:r>
    </w:p>
    <w:p>
      <w:r>
        <w:rPr>
          <w:b/>
        </w:rPr>
        <w:t xml:space="preserve">Quelle: </w:t>
      </w:r>
      <w:r>
        <w:t>https://mcp.opencaselaw.ch/entscheid/be_verwaltungsgericht_200_2024_298</w:t>
      </w:r>
    </w:p>
    <w:p>
      <w:r>
        <w:t>FR: BE_VERWALTUNGSGERICHT 200 2024 298 du 20 novembre 2024</w:t>
      </w:r>
    </w:p>
    <w:p>
      <w:r>
        <w:t>IT: BE_VERWALTUNGSGERICHT 200 2024 298 del 20 novembre 2024</w:t>
      </w:r>
    </w:p>
    <w:p>
      <w:pPr>
        <w:pStyle w:val="Heading2"/>
      </w:pPr>
      <w:r>
        <w:t>Regeste</w:t>
      </w:r>
    </w:p>
    <w:p>
      <w:r>
        <w:t>Verfügung vom 1. März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 März 2024 (act. II 84). Streitig und zu prüfen ist der Anspruch der Beschwerdeführerin auf eine Invalidenrente und dabei insbesondere die Frage, ob der Sachverhalt hinreichend abgeklärt ist.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20. Nov. 2024, IV/24/298, Seite 5 2. 2.1 Die Beschwerdeführerin rügt, die im Vorbescheidverfahren vorge- brachten Einwände seien in der Verfügung vom 1. März 2024 nicht rechts- genüglich gewürdigt worden, weshalb der angefochtene Entscheid mangels hinreichender Begründung bzw. aufgrund einer Verletzung des rechtlichen Gehörs aufzuheben sei (Beschwerde S. 5 f. Rz. 8-17). 2.2 Die Parteien haben Anspruch auf rechtliches Gehör. Sie müssen nicht angehört werden vor Verfügungen, die durch Einsprache anfechtbar sind (Art. 42 ATSG). 2.2.1 Gemäss Art. 57a Abs. 1 IVG teilt die IV-Stelle der versicherten Person den vorgesehenen Endentscheid über ein Leistungsbegehren, den Entzug oder die Herabsetzung einer bisher gewährten Leistung sowie den vorgesehenen Entscheid über die vorsorgliche Einstellung von Leistungen mittels Vorbescheid mit (Satz 1); die versicherte Person hat Anspruch auf rechtliches Gehör im Sinne von Art. 42 ATSG (Satz 2). Gemäss Art. 57a Abs. 3 IVG können die Parteien innerhalb einer Frist von 30 Tagen Ein- wände zum Vorbescheid vorbringen. Ist die Abklärung der Verhältnisse abgeschlossen, so beschliesst die IV-Stelle gemäss Art. 74 Abs. 1 der Ver- ordnung vom 17. Januar 1961 über die Invalidenversicherung (IVV; SR 831.201). Nach Art. 74 Abs. 2 IVV hat sich die Begründung des Beschlus- ses mit den für den Beschluss relevanten Einwänden zum Vorbescheid der Parteien auseinander zu setzen. 2.2.2 Das Recht, angehört zu werden, ist formeller Natur. Die Verletzung des Anspruchs auf rechtliches Gehör führt ungeachtet der Erfolgsaussich- ten der Beschwerde in der Sache selbst zur Aufhebung des angefochtenen Entscheids. Es kommt mit anderen Worten nicht darauf an, ob die An- hörung im konkreten Fall für den Ausgang der materiellen Streitentschei- dung von Bedeutung ist, d.h. die Behörde zu einer Änderung ihres Entscheides veranlasst wird oder nicht (BGE 127 V 431 E. 3d aa S. 437; SVR 2021 IV Nr. 43 S. 140 E. 4.4.1). Nach der Rechtsprechung kann eine nicht besonders schwerwiegende Verletzung des rechtlichen Gehörs indes als geheilt gelten, wenn die be- troffene Person die Möglichkeit erhält, sich vor einer Beschwerdeinstanz zu</w:t>
      </w:r>
    </w:p>
    <w:p>
      <w:r>
        <w:t>Urteil des Verwaltungsgerichts des Kantons Bern vom 20. Nov. 2024, IV/24/298, Seite 6 äussern, die sowohl den Sachverhalt wie auch die Rechtslage frei überprü- fen kann. Die Heilung eines allfälligen Mangels soll aber die Ausnahme bleiben (BGE 137 I 195 E. 2.3.2 S. 197, 126 V 130 E. 2b S. 132; SVR 2021 IV Nr. 43 S. 140 E. 4.4.1, 2020 IV Nr. 57 S. 194 E. 3.3.1). Von einer Rückweisung der Sache zur Gewährung des rechtlichen Gehörs an die Verwaltung ist im Sinne einer Heilung des Mangels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S. 197; SVR 2021 IV Nr. 43 S. 140 E. 4.4.1, 2020 IV Nr. 57 S. 194 E. 3.3.1). 2.3 2.3.1 Mit Vorbescheid vom 12. Januar 2024 (act. II 70) stellte die Be- schwerdegegnerin die Verneinung eines Rentenanspruchs in Aussicht, dies mit der Begründung, der Beschwerdeführerin sei die bisherige Tätigkeit als … zu einem Pensum von 80 % zumutbar, wodurch ein (rentenausschlies- sender) Invaliditätsgrad von 20 % resultiere (S. 2 f.). Damit bezieht sich der Vorbescheid ausdrücklich und ausschliesslich einzig auf den Rentenan- spruch, was denn auch beschwerdeweise nicht in Frage gestellt wird. In ihrem Einwandschreiben vom 28. Februar 2024 (act. II 83 S. 1 f.) stellte die Beschwerdeführerin eingangs fest, es sei nicht nachvollziehbar, warum seitens der Beschwerdegegnerin keine Unterstützung bei der "Wiederein- gliederung/Umschulung" geleistet werde. Anschliessend folgen Ausführun- gen zum Krankheitsverlauf und zu laufenden medizinischen Abklärungen. Weiter legte sie – unter Hinweis auf den dem Einwandschreiben beigeleg- ten Bericht der Hausärztin Dr. med. G.________, Praktische Ärztin, vom 26. Februar 2024 (act. II 83 S. 3) – dar, dass es ihr – der Beschwerdeführe- rin – schmerzbedingt nicht möglich sei, das aktuell ausgeübte Arbeitspen- sum von 50 % zu steigern. Schliesslich beantragte die Beschwerdeführerin, die Abklärungen betreffend berufliche Massnahmen "oder weitere, andere Massnahmen" wieder aufzunehmen (act. II 83 S. 2).</w:t>
      </w:r>
    </w:p>
    <w:p>
      <w:r>
        <w:t>Urteil des Verwaltungsgerichts des Kantons Bern vom 20. Nov. 2024, IV/24/298, Seite 7 2.3.2 Der Beschwerdegegnerin ist darin beizupflichten, dass sich die Einwände primär auf die Einstellung der beruflichen Massnahmen bezo- gen. Diese bildeten jedoch Gegenstand der Mitteilung vom 13. Dezember 2023 (act. II 68) und nicht des hier interessierenden Vorbescheidverfahrens (Beschwerdeantwort S. 2 f. Rz 6), weshalb für die Beschwerdegegnerin kein Anlass bestand, die Thematik der beruflichen Massnahmen unter dem Titel des einzig den Rentenpunkt betreffenden Vorbescheidverfahrens in der angefochtenen Verfügung erneut aufzugreifen. Dies steht im Einklang mit Art. 74 Abs. 2 IVV, wonach sich die Verfügung mit den für deren Ent- scheidgegenstand relevanten Einwänden auseinanderzusetzen hat (vgl. E. 2.2.1 vorne). Weder hat sich die Beschwerdeführerin in ihrem Einwand- schreiben konkret zur Rentenfrage noch zum Beweisergebnis aus der Be- gutachtung geäussert bzw. hat sie allgemein festgehalten, dass ihr eine 80%ige Arbeitstätigkeit nicht zumutbar sei. Ebenso wenig enthält der Be- richt von Dr. med. G.________ vom 26. Februar 2024 (act. II 83 S. 3) me- dizinische Gesichtspunkte, deren Erörterung es in der angefochtenen Verfügung zwingend bedurft hätte. Selbst wenn von einer höchstens leich- ten Verletzung des rechtlichen Gehörs ausgegangen würde, so wäre diese im vorliegenden Beschwerdeverfahren geheilt, war doch der Beschwerde- führerin eine sachgerechte Anfechtung der Verfügung möglich (vgl. BGE 143 III 433 E. 4.3.2 mit Hinweisen, u.a. auf BGE 139 V 496 F. 5.1 S. 504). Zudem erwiese sich eine Rückweisung auch in Anbetracht der vorliegend im Vorbescheidverfahren erhobenen Einwände offensichtlich als formalisti- scher Leerlauf, der zu unnötigen Verzögerungen führen würde, die mit dem (der Anhörung gleichgestellten) Interesse der betroffenen Partei an einer beförderlichen Beurteilung der Sache nicht zu vereinbaren wären (vgl. E. 2.2.2 vorne). 2.4 Demnach liegt keine zu einer Rückweisung der Sache an die Be- schwerdegegnerin führende Verletzung des rechtlichen Gehörs vor.</w:t>
      </w:r>
    </w:p>
    <w:p>
      <w:r>
        <w:t>Urteil des Verwaltungsgerichts des Kantons Bern vom 20. Nov. 2024, IV/24/298, Seite 8 3. 3.1 3.1.1 Arbeitsunfähigkeit ist die durch eine Beeinträchtigung der körperli- chen, geistigen oder psychischen Gesundheit bedingte, volle oder teilweise Unfähigkeit, im bisherigen Beruf oder Aufgabenbereich zumutbare Arbeit zu leisten. Bei langer Dauer wird auch die zumutbare Tätigkeit in einem anderen Beruf oder Aufgabenbereich berücksichtigt (Art. 6 ATSG). Invali- 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 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Dabei ist dem klaren Willen des Gesetzgebers gemäss Art. 7 Abs. 2 ATSG Rechnung zu tragen, wonach im Zuge einer objektivierten Betrachtungsweise von der grundsätzlichen "Validität“ der versicherten Person auszugehen ist (BGE 141 V 281 E. 3.7.2 S. 295). 3.1.2 Nach Art. 28 Abs. 1 IVG haben jene Versicherten Anspruch auf eine Rente, die ihre Erwerbsfähigkeit oder die Fähigkeit, sich im Aufgaben- bereich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3.2 In Anbetracht der sich mit Bezug auf Schmerzen naturgemäss ergebenden Beweisschwierigkeiten muss im Rahmen der sozialversiche- rungsrechtlichen Leistungsprüfung verlangt werden, dass die subjektiven Schmerzangaben durch damit korrelierende, fachärztlich schlüssig fest-</w:t>
      </w:r>
    </w:p>
    <w:p>
      <w:r>
        <w:t>Urteil des Verwaltungsgerichts des Kantons Bern vom 20. Nov. 2024, IV/24/298, Seite 9 stellbare Befunde hinreichend erklärbar sind. Dabei müssen die Schmerz- angaben zuverlässiger medizinischer Feststellung und Überprüfung zugänglich sein (BGE 143 V 124 E. 2.2.2 S. 127, 136 V 279 E. 3.2.1 S. 281). Sowohl bei Leiden, deren Ursache bekannt oder (bildgebend) zu ob- jektivieren ist, als auch bei Beschwerden mit unklarer Ätiologie und Kausa- lität vermögen die subjektiven Angaben der versicherten Person eine invalidenversicherungsrechtlich relevante Arbeitsunfähigkeit jedenfalls nicht ohne Weiteres rechtsgenüglich nachzuweisen, sondern es hat stets eine sorgfältige Plausibilitätsprüfung der geltend gemachten Funktions- einschränkungen zu erfolgen (BGE 140 V 290 E. 3.3.1 S. 296). 3.3 3.3.1 Wurde eine Rente wegen eines zu geringen Invaliditätsgrades bereits einmal verweigert, so wird eine neue Anmeldung nur geprüft, wenn die versicherte Person darin glaubhaft macht, dass sich der Grad der Inva- lidität in einer für den Anspruch erheblichen Weise geändert hat (vgl. Art. 87 Abs. 2 und 3 IVV). Erheblich ist eine Sachverhaltsänderung, wenn angenommen werden kann, der Leistungsanspruch sei begründet, falls sich die geltend gemachten Umstände als richtig erweisen sollten (vgl. SVR 2014 IV Nr. 33 S. 121 E. 2). Tritt die Verwaltung auf die Neuanmeldung oder das Revisionsgesuch ein, so hat sie die Sache materiell abzuklären und sich zu vergewissern, ob die von der versicherten Person glaubhaft gemachte Veränderung des Invali- ditätsgrades auch tatsächlich eingetreten ist. Stellt sie fest, dass der Invali- 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SVR 2008 IV Nr. 35 S. 117 E. 2.1). 3.3.2 Anlass zur Rentenrevision gibt jede wesentliche Änderung in den tatsächlichen Verhältnissen, die geeignet ist, den Invaliditätsgrad und damit den Rentenanspruch zu beeinflussen. Die Invalidenrente ist u.a. bei einer</w:t>
      </w:r>
    </w:p>
    <w:p>
      <w:r>
        <w:t>Urteil des Verwaltungsgerichts des Kantons Bern vom 20. Nov. 2024, IV/24/298, Seite 10 wesentlichen Veränderung des Gesundheitszustandes revidierbar (BGE 144 I 103 E. 2.1 S. 105, 141 V 9 E. 2.3 S. 10; SVR 2021 IV Nr. 36 S. 110 E. 3.1). 3.3.3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 3.3.4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110 E. 3.1). 3.4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 4. 4.1 Die Verwaltung ist auf die Neuanmeldung vom März 2023 (act. II 17) eingetreten, weshalb die Eintretensfrage praxisgemäss nicht zu über- prüfen ist (BGE 109 V 108 E. 2b S. 114). Massgebende Vergleichszeit- punkte bilden die Verfügung vom 14. Dezember 2021 (act. II 15) – mit</w:t>
      </w:r>
    </w:p>
    <w:p>
      <w:r>
        <w:t>Urteil des Verwaltungsgerichts des Kantons Bern vom 20. Nov. 2024, IV/24/298, Seite 11 welcher die Beschwerdegegnerin einen Anspruch auf IV-Leistungen ver- neint hat – und die nunmehr angefochtene Verfügung vom 1. März 2024 (act. II 84; vgl. E. 3.3.3 vorne). 4.2 Bei Erlass der Verfügung vom 14. Dezember 2021 (act. II 15) stützte sich die Beschwerdegegnerin namentlich auf den Bericht von Dr. med. H.________, Praktische Ärztin sowie Fachärztin für Psychiatrie und Psychotherapie, vom 20. November 2021 (act. II 14) ab. Darin wurde keine Diagnose mit Einfluss auf die Arbeitsfähigkeit und als Diagnose ohne Ein- fluss auf die Arbeitsfähigkeit eine emotional-instabile Persönlichkeitss- törung vom instabilen Typ (ICD-10 F60.31) mit ausgeprägten narzisstischen Persönlichkeitsanteilen (ICD-10 F60.80) festgehalten (S. 1). Ab 1. September 2021 bescheinigte Dr. med. H.________ wieder eine volle Arbeitsfähigkeit (vgl. S. 3). 4.3 Bei Erlass der angefochtenen Verfügung vom 1. März 2024 prä- sentierte sich die medizinische Aktenlage im Wesentlichen wie folgt: 4.3.1 Vom 4. Januar bis 22. Februar 2023 war die Beschwerdeführerin in der Klinik I.________ in stationärer psychiatrisch-psychotherapeutischer Behandlung. Im Austrittsbericht vom 21. März 2023 (act. II 30 S. 2 ff.) wur- den die folgenden Diagnosen gestellt: Hauptdiagnose Rezidivierende depressive Störung, gegenwärtig mittelgradige Episode (ICD-10 F33.1) Psychiatrische Nebendiagnosen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