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255 vom 16. Juli 2024</w:t>
      </w:r>
    </w:p>
    <w:p>
      <w:r>
        <w:t>BE Verwaltungsgericht, 2024-07-16, DE</w:t>
      </w:r>
    </w:p>
    <w:p>
      <w:r>
        <w:rPr>
          <w:b/>
        </w:rPr>
        <w:t xml:space="preserve">Quelle: </w:t>
      </w:r>
      <w:r>
        <w:t>https://mcp.opencaselaw.ch/entscheid/be_verwaltungsgericht_200_2024_255</w:t>
      </w:r>
    </w:p>
    <w:p>
      <w:r>
        <w:t>FR: BE_VERWALTUNGSGERICHT 200 2024 255 du 16 juillet 2024</w:t>
      </w:r>
    </w:p>
    <w:p>
      <w:r>
        <w:t>IT: BE_VERWALTUNGSGERICHT 200 2024 255 del 16 luglio 2024</w:t>
      </w:r>
    </w:p>
    <w:p>
      <w:pPr>
        <w:pStyle w:val="Heading2"/>
      </w:pPr>
      <w:r>
        <w:t>Regeste</w:t>
      </w:r>
    </w:p>
    <w:p>
      <w:r>
        <w:t>Verfügung vom 21.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Februar 2024 (act. II 169). Streitig und zu prüfen ist der Anspruch des Beschwerdeführers auf eine Rente der IV. Soweit der Beschwerdeführer mit seiner Beschwer- de auch eine angebliche Unrechtmässigkeit der (rechtskräftigen) Verfügung vom 4. Mai 2020 (act. II 127) geltend macht (Beschwerde S. 4 lit. B Ziff. 14, S. 6 lit. E Ziff. 22, 24, S. 7 lit. E [recte: lit. F] Ziff. 28), ist festzuhalten, dass die Beschwerdegegnerin mit der angefochtenen Verfügung vom 21. Febru- ar 2024 einzig das Bestehen eines Revisionsgrundes i.S.v. Art. 17 Abs. 1 ATSG geprüft hat, nicht aber die Wiedererwägungsvoraussetzungen i.S.v. Art. 53 Abs. 2 ATSG (vgl. act. II 169). Auf ein allfälliges Wiedererwägungs- gesuch ist sie zu keinem Zeitpunkt eingetreten. Die Ausführungen des Be- schwerdeführers zur angeblich zweifellosen Unrichtigkeit der Verfügung vom 4. Mai 2020 (act. II 127) bzw. des dieser zugrundeliegenden MEDAS- Gutachten vom 7. November 2018 (act. II 111.1) zielen damit ins Leere, zumal die Verwaltung weder vom Betroffenen noch vom Gericht zu einer Wiedererwägung (Art. 53 Abs. 2 ATSG) verhalten werden kann und mithin kein gerichtlich durchsetzbarer Anspruch auf Wiedererwägung besteht (BGE 133 V 50 E. 4 S. 52; SVR 2018 IV Nr. 33 S. 107 E. 5.4, 2014 IV Nr. 7 S. 29 E. 3.3). Vielmehr hätte der Beschwerdeführer seine Rechte hinsicht- lich der Verfügung vom 4. Mai 2020 (act. II 127) im betreffenden Rechtsmit- telverfahren zu wahren gehabt. Schliesslich ist zu beachten, dass hinsicht- lich der Frage der Wiedererwägung in der Beschwerde kein (explizites) Rechtsbegehren gestellt wurde. Soweit der Beschwerdeführer in der Be- schwerdebegründung sinngemäss um Wiedererwägung der Verfügung vom 4. Mai 2020 (act. II 127) ersucht, ist auf die Beschwerde nicht einzutre-</w:t>
      </w:r>
    </w:p>
    <w:p>
      <w:r>
        <w:t>Urteil des Verwaltungsgerichts des Kantons Bern vom 16. Juli 2024, IV/24/255, Seite 5 ten (vgl. auch Entscheid des Bundesgerichts [BGer] vom 12. Oktober 2021, 8C_414/2021, E. 4.3).</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vorliegend angefochtene Verfügung datiert vom 21. Februar 2024 (act. II 169), womit sie nach dem 1. Januar 2022 erging. Ferner ist der frühest mögliche Rentenbeginn mit Blick auf die im Mai 2023 (act. II 128) erfolgte Neuanmeldung nach dem 1. Januar 2022. Damit gelangt das seit 1. Januar 2022 gültige Recht zur Anwendung (vgl. Rz. 9100 des Kreis- schreibens des Bundesamtes für Sozialversicherungen [BSV] über Invali- dität und Rente in der Invalidenversicherung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16. Juli 2024, IV/24/255, Seite 6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145 V 215 E. 5.1 S. 221). Die Sachverständigen sollen die Diagnose so begründen, dass die Rechtsanwender nachvollziehen können, ob die klassifikatorischen Vorgaben tatsächlich eingehalten sind (BGE 143 V 124 E. 2.2.2 S. 127, 141 V 281 E. 2.1.1 S. 285). Gemäss höchstrichterli- cher Rechtsprechung erfolgt die Prüfung, ob ein psychischer Gesundheits- schaden eine rentenbegründende Invalidität zu bewirken vermag, schliess- lich anhand eines strukturierten normativen Prüfungsrasters (BGE 143 V 418 E. 7 S. 427, 141 V 281 E. 4.1 S. 296). Dies gilt für sämtliche psychi- 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w:t>
      </w:r>
    </w:p>
    <w:p>
      <w:r>
        <w:t>Urteil des Verwaltungsgerichts des Kantons Bern vom 16. Juli 2024, IV/24/255, Seite 7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2.5.1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SVR 2014 IV Nr. 33 S. 121 E. 2). Diese Eintretensvoraussetzung soll ver- hindern, dass sich die Verwaltung immer wieder mit gleichlautenden und nicht näher begründeten, d.h. keine Veränderung des Sachverhalts darle- genden Rentengesuchen befassen muss (BGE 133 V 108 E. 5.3.1 S. 112; Entscheid des BGer vom 26. Juni 2023, 8C_661/2022 [zur Publikation vor- gesehen], E. 3.6.2; SVR 2022 IV Nr. 35 S. 115 E. 5.1).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t>Urteil des Verwaltungsgerichts des Kantons Bern vom 16. Juli 2024, IV/24/255, Seite 8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Eine weitere Diagnosestel- lung bedeutet nur dann eine revisionsrechtlich relevante Gesundheitsver- schlechterung oder eine weggefallene Diagnose eine verbesserte gesund- heitliche Situation, wenn diese veränderten Umstände den Rentenanspruch berühren (BGE 141 V 9 E. 5.2 S. 12; SVR 2020 IV Nr. 25 S. 84 E. 3). Un- erheblich unter revisionsrechtlichem Gesichtswinkel ist nach ständiger Pra- xis die unterschiedliche Beurteilung eines im Wesentlichen gleich gebliebe- nen Sachverhaltes (BGE 147 V 161 E. 4.2 S. 164, 144 I 103 E. 2.1 S. 105).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16. Juli 2024, IV/24/255, Seite 9 3. 3.1 Die Verwaltung ist auf die Neuanmeldung vom Mai 2023 (act. II 128) eingetreten, weshalb die Eintretensfrage praxisgemäss nicht zu überprüfen ist (BGE 109 V 108 E. 2b S. 114). Indes ist zu prüfen, ob im massgebenden Vergleichszeitraum zwischen der Verfügung vom 4. Mai 2020 (act. II 127) und derjenigen vom 21. Februar 2024 (act. II 169; vgl. E. 2.5.4 hiervor) eine Veränderung in den tatsächlichen Verhältnissen ein- getreten ist, die geeignet ist, den Invaliditätsgrad in einer für den Leis- tungsanspruch erheblichen Weise zu beeinflussen. 3.2 Die Verfügung vom 4. Mai 2020 (act. II 127) basierte in medizini- scher Hinsicht auf dem MEDAS-Gutachten vom 7. November 2018 (act. II 111.1) und der Beantwortung der Rückfragen vom 18. Oktober 2019 (act. 125). In der Konsensbeurteilung nannten die MEDAS-Gutachter als Diagnosen mit Einfluss auf die Arbeitsfähigkeit eine leichte neuropsycholo- gische Störung (ICD-10 F06.7), differentialdiagnostisch (DD) den Verdacht auf eine Autismus-Spektrum-Störung (ASS) und eine nicht näher bezeich- nete organische psychische Störung aufgrund einer Schädigung oder Funktionsstörung des Gehirns oder einer körperlichen Krankheit (ICD-10 F06.9). Als Diagnosen ohne Auswirkung auf die Arbeitsfähigkeit nannten die Gutachter eine episodische Migräne ohne Aura (DD: Spannungstyp- kopfschmerz), einen unspezifischen Schwindel und einen Schiefhals nach links (10°). Im Vordergrund stünden die kognitiven Defizite, welche gewisse (anspruchsvollere) Tätigkeiten beeinträchtigten (act. II 111.1/9). In den Fachgebieten der Neurologie und Allgemeinen Inneren Medizin attestierten die jeweiligen Gutachter der MEDAS weder in der bisherigen Tätigkeit (...) noch in einer Verweistätigkeit eine Arbeitsunfähigkeit. In denjenigen der Neuropsychologie und Psychiatrie attestierten die jeweiligen Gutachter in der bisherigen Tätigkeit eine Arbeitsunfähigkeit von jeweils 100 % und in einer Verweistätigkeit eine solche von jeweils 20 %. Hieraus ergebe sich aus interdisziplinärer Sicht eine Arbeitsunfähigkeit in der angestammten Tätigkeit von 100 % und in einer Verweistätigkeit von 20 %. Dabei gelte das im neuropsychologischen Teilgutachten geäusserte Fähigkeitsprofil (act. II 111.1/11 Ziff. 4.7). Danach bestehe in einer den Ressourcen und den Defiziten angepassten Tätigkeit im angestammten Beruf als ... EBA im</w:t>
      </w:r>
    </w:p>
    <w:p>
      <w:r>
        <w:t>Urteil des Verwaltungsgerichts des Kantons Bern vom 16. Juli 2024, IV/24/255, Seite 10 ersten Arbeitsmarkt wie auch in jeglicher Verweistätigkeit aufgrund der neu- ropsychologischen Befunde eine Arbeitsfähigkeit von 80 %. Bei einer Ar- beitspräsenz von 100 % (8.4 Stunden pro Tag, 5 Tage pro Woche) könne der Beschwerdeführer eine Arbeitsleistung von 80 % (bezogen auf ein Vollpensum von 100 %) erbringen. Die Reduktion der Arbeitspräsenz sei begründet mit den verminderten Aufmerksamkeitsleistungen und dem Ar- beitstempo sowie der reduzierten Umstellfähigkeit. Eine angepasste Ar- beitssituation bedinge kognitiv einfache und klar strukturierte praktische Aufgabenstellungen, die weitgehend automatisiert und überlernt seien, al- lenfalls auch rein repetitiven Charakter haben könnten. Das Anforderungs- niveau müsse den intellektuellen praktischen Fähigkeiten entsprechen. Die Aufgaben sollten weitgehend seriell zu erledigen sein, die Anforderungen an die geteilte Aufmerksamkeit gelte es gering zu halten. Ungünstig seien sich schnell und häufig wechselnde Tätigkeiten. Zumindest anfänglich soll- te auf eine engmaschige Supervision in ruhiger und vertrauensvoller Atmo- sphäre geachtet werden. Der Beschwerdeführer sei auf ein wohlwollendes und unterstützendes Arbeitsumfeld angewiesen (act. II 111.5/22 Ziff. 2.8). Am 18. Oktober 2019 führten die Gutachter der MEDAS auf Rückfragen der Verwaltung aus, hinsichtlich der Arbeitsfähigkeit in einer angepassten Tätigkeit werde auf das neuropsychologische Teilgutachten verwiesen. Es sei möglich, dass es auf dem freien Arbeitsmarkt vereinzelte Nischenar- beitsplätze gebe, an denen die zahlreichen Voraussetzungen erfüllt seien, auf welche der Beschwerdeführer angewiesen sei (act. II 125). 3.3 Hinsichtlich der Entwicklung des Gesundheitszustandes seit Erlass der Verfügung vom 4. Mai 2020 (act. II 127) lässt sich den Akten im We- sentlichen das Folgende entnehmen: 3.3.1 Die Schulter-Sonographie links vom 24. November 2022 offenbarte den Verdacht auf eine Pulley-Läsion im Schultergelenk links bei Partialrup- tur im kranialen Sehnendrittel (6 mm) und eine leicht ventralisierte lange Bizepssehne ebendort und zusätzlich eine tendinopathisch aufgetriebene Supraspinatussehne im anterioren Aspekt (act. II 137/9). Die MRI-Untersuchung der linken Schulter vom 6. Dezember 2022 zeigte eine Pulley-Läsion mit leichter medialer Subluxation der langen Bizepsseh-</w:t>
      </w:r>
    </w:p>
    <w:p>
      <w:r>
        <w:t>Urteil des Verwaltungsgerichts des Kantons Bern vom 16. Juli 2024, IV/24/255, Seite 11 ne und keinen Hinweis auf eine Läsion der Rotatorenmanschette (act. II 153/4). 3.3.2 Im Untersuchungsbericht des Spitals D.________ über die Autis- mus-Abklärung vom 17. August 2023 wurden eine ASS (ICD-10 F84.0) und eine Lernbehinderung (ICD-10 F81.9) diagnostiziert (act. II 155/6). Es bestünden anhaltende Defizite in der sozialen Kommunikation und Interak- tion sowie eingeschränkte, repetitive Verhaltensmuster, Interessen oder Aktivitäten. Die Symptome lägen bereits in der frühen Entwicklungsphase vor und führten zu einem bedeutsamen Leidensdruck. Zusätzlich bestün- den gemäss früheren Abklärungen Entwicklungsverzögerungen im motori- schen und kognitiven Bereich. Die intellektuellen Fähigkeiten lägen im Be- reich der Lernbehinderung (Gesamt-IQ 82; act. II 155/5). 3.3.3 Im Operationsbericht vom 25. April 2023 über die durchgeführte diagnostische Schulterarthroskopie links, Débridement an der SLAP-Läsion sowie des eingerissenen Lappens unterhalb des Buford-Komplexes, Weichteil Débridement und Denervation der Coracoidunterfläche, wurden anterolaterale Schulterbeschwerden links adominant und eine Gynäkomas- tia vera, anamnestisch Progredienz im Jahr 2022, diagnostiziert (act. II 159/15). Am 19. Juni 2023 berichteten die Behandler des Spitals D.________ von einem erfreulichen Verlauf mit deutlicher Besserung der Beschwerdesituation. Empfohlen werde die weitere schrittweise "Aufbelas- tung" und Heranführung an die Belastung im geplanten Arbeitsprofil der ... . Sie attestierten eine Arbeitsunfähigkeit von 100 % vom 25. Juni bis 16. Juli 2023 und eine solche von 50 % vom 17. Juli bis 9. August 2023 (act. II 159/14). Am 9. August 2023 berichteten die Behandler bei aktuell kompensierter Situation, dass weiterhin nach Massgabe der Beschwerden "aufbelastet" werden dürfe. Bei weiter positiver Entwicklung bedürfe es kei- ner fixen Verlaufskontrolle mehr; die Behandlung werde aktuell abge- schlossen (act. II 159/10). 3.3.4 Im Bericht des RAD vom 21. November 2023 diagnostizierte Dr. med. E.________, Facharzt für Orthopädische Chirurgie und Traumato- logie des Bewegungsapparates, vollständig regrediente anterolaterale Schulterschmerzen links (adominant) bei SLAP-Läsion Typ I (act. II 162/1). Hinsichtlich der Beschwerden der linken Schulter sei durch den operativen</w:t>
      </w:r>
    </w:p>
    <w:p>
      <w:r>
        <w:t>Urteil des Verwaltungsgerichts des Kantons Bern vom 16. Juli 2024, IV/24/255, Seite 12 Eingriff nahezu eine Restitutio ad integrum erzielt worden. Die Belastbarkeit und Funktionalität des betroffenen Schultergelenks seien inzwischen wie- derhergestellt. Wesentliche degenerative Veränderungen lägen am linken Schultergelenk nicht vor und es sei kein dauerhaft verbleibender Schaden anzunehmen. Gegenüber der Verfügung vom 4. Mai 2020 sei es insgesamt nur zu einer vorübergehenden, wahrscheinlich aber nicht zu einer dauer- haften Verschlechterung des Gesundheitszustandes gekommen. Die ange- stammte Tätigkeit wäre dem Beschwerdeführer aus orthopädischer Sicht weiterhin in ganztägiger Präsenz möglich (act. II 162/22). 3.3.5 Im RAD-Bericht vom 24. November 2023 führte Dr. med. F.________, Facharzt für Psychiatrie und Psychotherapie, aus, auf dem psychiatrischen Gebiet sei keine Verschlechterung ausgewiesen. Auch wenn das MEDAS-Gutachten die Diagnose der ASS nur als Differentialdia- gnose gestellt habe, seien die Autismus-typischen Funktionsbeeinträchti- gungen auch schon zuvor in der Aktenlage aufgeführt und entsprechend gewürdigt worden. Auch entspreche der Psychostatus in der ASS- Abklärung in etwa dem im psychiatrischen Teilgutachten. Die leichte neu- ropsychologische Funktionsstörung, die Lernbehinderung (IQ 82) und die ASS-typischen Besonderheiten, gegenseitig interagierend, lägen schon seit jeher vor und seien im MEDAS-Gutachten hinreichend gewürdigt worden. Eine neue Entwicklung sei nicht ausgewiesen, sodass psychiatrisch ein stationärer Gesundheitszustand vorliege. Aufgrund der objektiven Befunde sei keine Verschlechterung des Gesundheitszustands seit der Verfügung vom 4. Mai 2020 ausgewiesen (act. II 163/6). 3.3.6 Im Bericht vom 29. Januar 2024 diagnostizierte Dr. med. G.________, Fachärztin für Orthopädische Chirurgie und Traumatologie des Bewegungsapparates, eine posteriore Schulterinstabilität (bei) compu- tertomographisch leichter posteriorer Dysplasie der Schulter links bei per- sistierenden Beschwerden (act. I 3/1). Klinisch zeige sich eine Verbesse- rung der Gelenkinstabilität bei noch nicht vorliegender Beschwerdefreiheit. Die Physiotherapie sollte in den nächsten drei Monaten noch fortgesetzt werden. Grundsätzlich seien Arbeiten bzw. Berufe, in denen körperlich schwer gearbeitet werden müsste bzw. regelmässig Überkopfarbeiten und körperfernes schweres Heben und Tragen notwendig seien, nicht geeignet.</w:t>
      </w:r>
    </w:p>
    <w:p>
      <w:r>
        <w:t>Urteil des Verwaltungsgerichts des Kantons Bern vom 16. Juli 2024, IV/24/255, Seite 13 Leichte Arbeiten seien geeignet. Im ... könne der Beschwerdeführer nach seinen Angaben auf den rechten Arm wechseln (act. I 3/2).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3.5 Die Beschwerdegegnerin hat sich in medizinischer Hinsicht in der angefochtenen Verfügung vom 21. Februar 2024 (act. II 169) massgeblich auf die Aktenbeurteilungen der RAD-Ärzte Dres. med. E.________ und F.________ vom 21. November 2023 (act. II 162) und 24. November 2023 (act. II 163) gestützt. Diese erfüllen die von der höchstrichterlichen Recht- sprechung an den Beweiswert solcher Aktenberichte gestellten Anforde- rungen und genügen auch den revisionsrechtlichen Ansprüchen (vgl. E. 3.4 hiervor; vgl. auch SVR 2018 IV Nr. 13 S. 40 f. E. 4.2 und 4.2.1 f.). Die darin enthaltenen Feststellungen und Ausführungen sind in Kenntnis bzw. Wür- digung der Vorakten sowie unter Berücksichtigung der geklagten Ein-</w:t>
      </w:r>
    </w:p>
    <w:p>
      <w:r>
        <w:t>Urteil des Verwaltungsgerichts des Kantons Bern vom 16. Juli 2024, IV/24/255, Seite 14 schränkungen getroffen worden. Gestützt darauf haben die RAD-Ärzte die medizinischen Zusammenhänge einleuchtend und die daraus gezogenen Schlussfolgerungen zum Gesundheitszustand und dessen Verlauf nach- vollziehbar begründet dargestellt. Dass sie keine klinische Exploration des Beschwerdeführers durchgeführt haben, ist nicht zu beanstanden, konnten sie sich aufgrund der vorhandenen umfassenden Unterlagen doch ein ge- samthaft lückenloses Bild verschaffen (vgl. E. 3.4 in fine hiervor) und wären aus einer persönlichen Untersuchung keine zusätzlichen Erkenntnisse zu erwarten gewesen. Damit kommt den RAD-Berichten voller Beweiswert zu, sodass darauf abzustellen ist. 3.5.1 In somatischer Hinsicht hat der RAD-Arzt Dr. med. E.________ ein- gehend und nachvollziehbar aufgezeigt, dass seit dem massgebenden Vergleichszeitpunkt (vgl. E. 3.1 hiervor) – trotz der ab Herbst 2022 entwi- ckelten und am 25. April 2023 operativ angegangenen linksseitigen Schulterproblematik – es einzig zu einem vorübergehenden, jedoch nicht zu einem erheblichen bzw. langandauernden Gesundheitsschaden mit Auswirkung auf die Arbeitsfähigkeit gekommen ist (act. II 162/2). Diese Beurteilung korreliert mit den Berichten der behandelnden Ärzte des Spitals D.________. So berichteten diese nach dem operativen Eingriff (vom 25. April 2023; act. II 159/15) am 19. Juni 2023 von einem erfreulichen Ver- lauf mit deutlicher Verbesserung der Beschwerdesituation (act. II 159/14) – bei zwischen 25. Juni und 16. Juli vollständiger Arbeitsunfähigkeit und zwi- schen 17. Juli und 9. August 2023 noch 50%iger Arbeitsunfähigkeit – und am 9. August 2023 von einer kompensierten Situation mit Behandlungsab- schluss (act. II 159/10). Mit der ab November 2022 begonnenen und nach der arthroskopischen Operation vom April 2023, per Anfang August 2023 abgeschlossenen Be- handlung der linksseitigen Schulterproblematik bei voller Belastbarkeit der linken adominanten Schulter besteht zwar eine vorübergehende Verände- rung der medizinischen Befundlage. Die kumulativ zu erfüllende Erheblich- keit der Veränderung ist hingegen vorliegend nicht erfüllt, da mit der zwi- schenzeitlich abgeschlossenen und wiedererlangten vollständigen Arbeits- fähigkeit die bestandene Veränderung des medizinischen Sachverhalts keine Auswirkung auf den Leistungsanspruch zeitigt, mithin ihr keine "Ren-</w:t>
      </w:r>
    </w:p>
    <w:p>
      <w:r>
        <w:t>Urteil des Verwaltungsgerichts des Kantons Bern vom 16. Juli 2024, IV/24/255, Seite 15 tenwirksamkeit" zukommt (vgl. dazu THOMAS FLÜCKIGER, in: FRÉSARD- FELLAY/KLETT/LEUZINGER [Hrsg.], Basler Kommentar, Allgemeiner Teil des Sozialversicherungsrechts, 2020, Art. 17 N. 45 f.). Eine solche hat die Schulterproblematik bereits deshalb nicht, da der (potenzielle) Rentenan- spruch aufgrund der Neuanmeldung zum Leistungsbezug im Mai 2023 (act. II 128) frühestens per November 2023 hätte entstehen können (Art. 29 Abs. 1 IVG), jedoch der Behandlungsabschluss mit nahezu vollständiger Abheilung der Beschwerden (act. II 162/2) bereits im August 2023 erfolgte (vgl. act. II 159/1 ff.). Überdies bestand hinsichtlich dieses neuen Gesund- heitsschadens – für welchen das Wartejahr erneut zu absolvieren gewesen wäre bzw. war (SVR 2009 IV Nr. 27 S. 75 E.7.4; Entscheid des Eidgenös- sischen Versicherungsgerichts [EVG; heute BGer] vom 10. Dezember 2001, I 179/01, E. 3a; MEYER/REICHMUTH, Rechtsprechung des Bundesge- richts zum Bundesgesetz über die Invalidenversicherung [IVG], 4. Aufl. 2022, Art. 28 N. 37) – keine durchschnittliche Arbeitsunfähigkeit von min- destens 40 % während der Dauer eines Jahres (Art. 28 Abs. 1 lit. b IVG), insbesondere auch mit Blick auf die zusätzlich bestandenen Unterbrüche (act. II 152/1 ff.; vgl. dazu Art. 29ter IVV). Eine revisionsrechtlich massgebli- che bzw. erhebliche Veränderung des somatischen Gesundheitszustandes ist nicht erstellt. Auch waren die Auswirkungen der Schulterbeschwerden auf die Erwerbstätigkeit des Beschwerdeführers (vgl. act. II 142/1, 144/4) nur vorübergehender Natur, kann er doch seine Tätigkeit im ... nach wie vor ausüben (act. I 3/2). Daran ändert auch der Bericht von Dr. med. G.________ vom 29. Januar 2024 (act. I 3) insofern nichts, als darin lediglich darauf hingewiesen wurde, dass der Beschwerdeführer trotz Verbesserung der Gelenkstabilität noch nicht (vollständig) beschwerdefrei sei. Der Untersuchungsbefund fiel indes weitgehend normal aus, woraufhin die behandelnde Ärztin keine neuerliche Arbeitsunfähigkeit attestierte und die Fortsetzung der Physiotherapie noch für die nächsten drei Monate empfahl (act. I 3/2). Im Übrigen nahm der Be- schwerdeführer auch keine Analgetika mehr ein und eine medikamentöse Therapie wurde auch nicht (mehr) verordnet (act. I 3/1). Die von Dr. med. G.________ beschriebene qualitative Einschränkung hinsichtlich körperlich schwerer Tätigkeiten, während für körperlich leichtere Tätigkeiten keine Einschränkung festgehalten wurde (act. I 3/2), begründet ebenfalls keine</w:t>
      </w:r>
    </w:p>
    <w:p>
      <w:r>
        <w:t>Urteil des Verwaltungsgerichts des Kantons Bern vom 16. Juli 2024, IV/24/255, Seite 16 anspruchsrelevante Veränderung. Dies zumal der beschriebenen Ein- schränkung weder bei der erlernten Tätigkeit als ... EBA (vgl. act. II 99/5) noch im Rahmen der zuletzt ausgeübten Tätigkeit im ...- und ... (vgl. act. II 160/4 f.) eine massgebende Bedeutung zukommt. Diese Tätigkeiten sind dem Beschwerdeführer aus orthopädischer Sicht gemäss der über- zeugenden Beurteilung des RAD-Arztes Dr. med. E.________ vom 21. No- vember 2023 weiterhin bzw. im Vergleich zur Referenzverfügung vom 4. Mai 2020 (act. II 127; vgl. E. 3.1 hiervor) unverändert möglich und zu- mutbar (act. II 162/2). Im Übrigen ist im Rahmen der IV, anders als in der Unfallversicherung (vgl. Art. 19 Abs. 1 des Bundesge-setzes vom 20. März 1981 über die Unfallversicherung [UVG; SR 832.20]), nicht entscheidend, ob ein medizinischer Endzustand erreicht ist, da der Rentenanspruch un- abhängig davon geprüft werden kann und allfällige (spätere) wesentliche Änderungen des Gesundheitszustands wiederum im Rahmen eines Neu- anmeldungs- bzw. Revisionsverfahrens (Art. 17 Abs. 1 ATSG) zu berück- sichtigen wären (vgl. Entscheid des BGer vom 27. November 2018, 8C_321/2018, E. 5.1; vgl. E. 2.5 hiervor). 3.5.2 Sodann hat der RAD-Arzt Dr. med. F.________ ebenfalls einge- hend und nachvollziehbar aufgezeigt, dass seit dem massgebenden Ver- gleichszeitpunkt vom 4. Mai 2020 (vgl. E. 3.1 hiervor) auch in psychiatri- scher Hinsicht keine relevante Veränderung ausgewiesen ist. Aufgrund der im Autismus-Abklärungsbericht des Spitals D.________ vom 15. Juni 2023 nunmehr diagnostizierten ASS (act. II 155/6) besteht zwar auf dem psych- iatrischen Fachgebiet eine neue Diagnose, jedoch sind weder hinsichtlich der medizinischen Befundlage massgebliche Veränderungen ersichtlich noch wurde im Abklärungsbericht bzw. den übrigen im Neuanmeldungsver- fahren ins Recht gelegten Akten eine vom MEDAS-Gutachten vom 7. No- vember 2018 (act. II 111.1) abweichende Einschätzung der Arbeitsfähigkeit gemacht. Im MEDAS-Gutachten wurde die Diagnose der ASS bereits als Verdachtsdiagnose gestellt (act. II 111.1/9). Im Rahmen der dazugehörigen neuropsychologischen Untersuchung wurde diesbezüglich ausgeführt, dass die in der Anamnese berichteten und in den Befunden beschriebenen Schwierigkeiten im Erwerb der Sprache, in der sozialen Kommunikation und Interaktion (kaum Beziehungen zu Gleichaltrigen), die Schwierigkeiten den Gesichtsausdruck und Tonfall des Gegenübers zu interpretieren, das</w:t>
      </w:r>
    </w:p>
    <w:p>
      <w:r>
        <w:t>Urteil des Verwaltungsgerichts des Kantons Bern vom 16. Juli 2024, IV/24/255, Seite 17 seit der Kindheit intensive Interesse an einer Sache (Busschauffeur wer- den) sowie das Gefühl der Reizüberflutung und das Bedürfnis nach Ver- trauen und Beständigkeit mit der Diagnose der ASS vereinbar seien; die Symptome einer ASS könnten die Schwierigkeiten des Beschwerdeführers im Alltag und im Berufsleben erklären (act. II 111.5/19 unten). Im Zeitpunkt der Verfügung vom 4. Mai 2020 (act. II 127) waren damit die der ASS inhä- renten Symptome und Einschränkungen bereits bekannt und flossen in die gutachterliche Beurteilung mit ein. Gemäss der Autismus-Abklärung des Spitals D.________ bestehen die Symptome denn auch bereits seit der frühen Entwicklungsphase (act. II 155/5). Damit übereinstimmend und überzeugend legte Dr. med. F.________ dar, dass auch wenn im MEDAS- Gutachten die ASS bloss als Verdachtsdiagnose gestellt wurde, die Autis- mus-spezifischen Funktionsbeeinträchtigungen bereits aktenkundig gewe- sen und gutachterlich denn auch bereits berücksichtigt worden seien (act. II 163/6). Ebenso zutreffend führte Dr. med. F.________ aus, dass auch der Psychostatus in der ASS-Abklärung (act. II 155/4 f.) in etwa demjenigen im psychiatrischen Teilgutachten entspreche (act. II 111.6/18- 20). Ein auf der Befundebene geänderter Gesundheitszustand bzw. neue damit zusammenhängende relevante Einschränkungen sind damit insge- samt nicht ausgewiesen. Unter diesen Umständen kommt der nunmehr nicht mehr lediglich differenzialdiagnostisch gestellten Diagnose unter revi- sionsrechtlichen Gesichtspunkten keine massgebliche Bedeutung zu (vgl. Entscheid des BGer vom 24. März 2023, 8C_247/2022, E. 3.3.2; vgl. E. 2.5.3 hiervor). Für die Bestimmung des Ren- tenanspruchs ist denn auch rechtsprechungsgemäss nicht die (genaue) Diagnose massgebend, sondern vielmehr, ob und in welchem Ausmass eine Beeinträchtigung der Arbeits- und Leistungsfähigkeit vorliegt (Ent- scheid des BGer vom 15. September 2023, 8C_121/2023, E. 4.2). In psychiatrischer Hinsicht ist eine relevante gesundheitliche Veränderung ebenfalls nicht erstellt. 3.6 Ebenso wenig sind weitere Revisionsgründe, insbesondere erwerb- liche, erstellt; entsprechende werden denn auch vom rechtskundig vertre- tenen Beschwerdeführer nicht vorgebracht. Namentlich begründen zwi- schenzeitliche Veränderungen der erwerblichen Situation des Beschwerde- führers (vgl. act. II 160) keinen Revisionsgrund, da im Rahmen der Refe-</w:t>
      </w:r>
    </w:p>
    <w:p>
      <w:r>
        <w:t>Urteil des Verwaltungsgerichts des Kantons Bern vom 16. Juli 2024, IV/24/255, Seite 18 renzverfügung vom 4. Mai 2020 für die Vergleichseinkommen nicht auf ein tatsächliches, sondern ein lohnstatistisches Erwerbseinkommen abgestellt wurde (act. II 127/1 f.). 3.7 Der Sachverhalt erweist sich als hinreichend abgeklärt, weshalb auf weitere Beweiserhebungen zu verzichten ist (antizipierte Beweiswürdigung; BGE 144 V 361 E. 6.5 S. 368, 124 V 90 E. 4b S. 94, 122 V 157 E. 1d S. 162; SVR 2019 IV Nr. 50 S. 163 E. 4). Zusammenfassend ist im hier zu beurteilenden Zeitraum (vgl. E. 3.1 hiervor) kein Revisions- bzw. Neuan- meldungsgrund erstellt (vgl. E. 2.5.2 hiervor). Da kein Revisionsgrund vor- liegt, ist weder ein strukturiertes Beweisverfahren nach BGE 141 V 281 (vgl. E. 2.2 in fine hiervor) noch ein Einkommensvergleich (Art. 16 ATSG; vgl. E. 2.4 hiervor) durchzuführen (Entscheid des BGer vom 9. August 2021, 8C_295/2021, E. 7). Die angefochtene Verfügung 21. Februar 2024 (act. II 169) ist damit im Ergebnis nicht zu beanstanden und die dagegen erhobene Beschwerde ist abzuweisen, soweit darauf einzutreten ist.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vorbehält- lich der Gewährung der unentgeltlichen Rechtspflege (vgl. E. 4.3 hiernach) – zur Bezahlung auferlegt (Art. 108 Abs. 1 VRPG). 4.2 Bei diesem Verfahrensausgang besteht kein Anspruch auf eine Par- teientschädigung (Umkehrschluss aus Art. 1 Abs. 1 IVG i.V.m. Art. 61 lit. g ATSG). 4.3 Zu prüfen bleibt das Gesuch um unentgeltliche Rechtspflege.</w:t>
      </w:r>
    </w:p>
    <w:p>
      <w:r>
        <w:t>Urteil des Verwaltungsgerichts des Kantons Bern vom 16. Juli 2024, IV/24/255, Seite 19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Akten ausgewie- sen (Akten des Beschwerdeführers [act. IA] 4). Zudem kann das Verfahren nicht als von vornherein aussichtslos bezeichnet werden und die Notwen- digkeit einer Rechtsverbeiständung ist zu bejahen. Mithin sind die Voraus- setzungen für die Erteilung des Rechts auf unentgeltliche Rechtspflege erfüllt. Das entsprechende Gesuch des Beschwerdeführers ist gutzuheis- sen und es ist ihm Rechtsanwalt B.________ als amtlicher Anwalt beizu- ordnen. 4.3.2 Festzusetzen bleibt das amtliche Honorar von Rechtsanwalt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21. Mai 2024 macht Rechtsanwalt B.________ einen Zeitaufwand von 11.05 Stunden bzw. ein Honorar von Fr. 3'103.20 zuzüg-</w:t>
      </w:r>
    </w:p>
    <w:p>
      <w:r>
        <w:t>Urteil des Verwaltungsgerichts des Kantons Bern vom 16. Juli 2024, IV/24/255, Seite 20 lich Auslagen von Fr. 199.90 und MWST von Fr. 267.55 (8.1 % von Fr. 3'303.10) geltend. Dies ist nicht zu beanstanden. Folglich ist der tarif- mässige Parteikostenersatz für dieses Verfahren auf Fr. 3'570.65 festzu- setzten. Davon ist Rechtsanwalt B.________ nach Eintritt der Rechtskraft dieses Urteils aus der Gerichtskasse ein amtliches Honorar von Fr. 2'216.65 (11.05 Stunden x Fr. 200.--) zuzüglich Auslagen von Fr. 199.90 und MWST von Fr. 195.75, total somit eine Entschädigung von Fr. 2'612.30 auszurichten. Vorbehalten bleibt die Nachzahlungspflicht des Beschwerdeführers gegenüber dem Kanton Bern entsprechend den Vor- aussetzungen von Art. 113 VRPG i.V.m. Art. 123 der Schweizerischen Zi- vilprozessordnung vom 19. Dezember 2008 (Zivilprozessordnung, ZPO; SR 272). Demnach entscheidet das Verwaltungsgericht: 1. Die Beschwerde wird abgewiesen, soweit darauf einzutreten ist. 2. Das Gesuch um unentgeltliche Rechtspflege und Beiordnung von Rechtsanwalt B.________ als amtlicher Anwalt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Der tarifmässige Parteikostenersatz des amtlichen Anwalts wird in die- sem Verfahren auf Fr. 3'570.65 (inkl. Auslagen und MWST) festge- setzt. Davon wird Rechtsanwalt B.________ nach Eintritt der Rechts- kraft dieses Urteils aus der Gerichtskasse eine auf Fr. 2'612.30 festge- setzte Entschädigung (inkl. Auslagen und MWST) vergütet. Vorbehal- ten bleibt die Nachzahlungspflicht nach Art. 123 ZPO.</w:t>
      </w:r>
    </w:p>
    <w:p>
      <w:r>
        <w:t>Urteil des Verwaltungsgerichts des Kantons Bern vom 16. Juli 2024, IV/24/255, Seite 21 5. Zu eröffnen (R): - Rechtsanwalt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16. Juli 2024, IV/24/255, Seite 4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