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147 vom 26. Januar 2024</w:t>
      </w:r>
    </w:p>
    <w:p>
      <w:r>
        <w:t>BE Verwaltungsgericht, 2024-01-26, DE</w:t>
      </w:r>
    </w:p>
    <w:p>
      <w:r>
        <w:rPr>
          <w:b/>
        </w:rPr>
        <w:t xml:space="preserve">Quelle: </w:t>
      </w:r>
      <w:r>
        <w:t>https://mcp.opencaselaw.ch/entscheid/be_verwaltungsgericht_200_2024_147</w:t>
      </w:r>
    </w:p>
    <w:p>
      <w:r>
        <w:t>FR: BE_VERWALTUNGSGERICHT 200 2024 147 du 26 janvier 2024</w:t>
      </w:r>
    </w:p>
    <w:p>
      <w:r>
        <w:t>IT: BE_VERWALTUNGSGERICHT 200 2024 147 del 26 gennaio 2024</w:t>
      </w:r>
    </w:p>
    <w:p>
      <w:pPr>
        <w:pStyle w:val="Heading2"/>
      </w:pPr>
      <w:r>
        <w:t>Regeste</w:t>
      </w:r>
    </w:p>
    <w:p>
      <w:r>
        <w:t>Einspracheentscheid vom 26. Januar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26. Januar 2024 (act. II 62). Streitig und zu prüfen ist der Anspruch auf EL für die Zeit ab dem 1. Januar 2024 und in diesem Zusammenhang einzig die Frage, ob die Beschwerdegegnerin bei der Berechnung der EL die Zahlungen der B.________ AG in der Höhe von Fr. 700.-- pro Monat bzw. Fr. 8'400.-- pro Jahr zu Recht als anrechenbare Einnahme berücksichtigte. Die richterliche Beurteilung hat sich praxisgemäss auf diesen Punkt zu beschränken, wo- gegen aufgrund der Akten kein Anlass besteht, die übrigen unbestritten gebliebenen Punkte in die Prüfung miteinzubeziehen (BGE 131 V 329 E. 4 S. 330).</w:t>
      </w:r>
    </w:p>
    <w:p>
      <w:r>
        <w:rPr>
          <w:b/>
        </w:rPr>
        <w:t>E. 1.3</w:t>
      </w:r>
    </w:p>
    <w:p>
      <w:r>
        <w:t>Die Beurteilung der Beschwerde fällt in die einzelrichterliche Zu- ständigkeit, da der Streitwert unter Fr. 20'000.-- liegt (Art. 57 Abs. 1 GSOG). Denn einerseits kann ein EL-Entscheid in zeitlicher Hinsicht nur für ein Kalenderjahr Rechtsbeständigkeit entfalten (BGE 141 V 255 E. 1.3 S. 258, 128 V 39 E. 3b S. 41; SVR 2020 EL Nr. 1 S. 1, 9C_541/2019</w:t>
      </w:r>
    </w:p>
    <w:p>
      <w:r>
        <w:t>Urteil des Verwaltungsgerichts des Kantons Bern vom 25. Juli 2025, EL 200 2024 147 - 4 - E. 4.1), andererseits würden aus der Nichtberücksichtigung der hier im Zentrum des Interesses stehenden Zahlungen als anrechenbare Einnahme maximal um Fr. 8'400.-- höhere EL pro Jahr resultieren (vgl. act. II 59/5 f.).</w:t>
      </w:r>
    </w:p>
    <w:p>
      <w:r>
        <w:rPr>
          <w:b/>
        </w:rPr>
        <w:t>E. 1.4</w:t>
      </w:r>
    </w:p>
    <w:p>
      <w:r>
        <w:t>Das Gericht überprüft den angefochtenen Entscheid frei und ist an die Begehren der Parteien nicht gebunden (Art. 61 lit. c und d ATSG; Art. 80 Abs. 1 lit. c Ziff. 1 und Art. 84 Abs. 3 VRPG). 2. 2.1 Gemäss Art. 4 Abs. 1 des Bundesgesetzes vom 6. Oktober 2006 über Ergänzungsleistungen zur Alters-, Hinterlassenen- und Invalidenversi- cherung (ELG; SR 831.30) haben Personen mit Wohnsitz und gewöhnli- chem Aufenthalt (Art. 13 ATSG) in der Schweiz Anspruch auf Ergänzungs- leistungen, wenn sie eine Rente der AHV oder IV beziehen oder nach lit. b oder d der genannten Bestimmung Anspruch auf eine solche Rente hätten. Die Ergänzungsleistungen bestehen aus der jährlichen Ergänzungsleistung sowie der Vergütung von Krankheits- und Behinderungskosten (Art. 3 Abs. 1 ELG). Die jährliche Ergänzungsleistung entspricht dem Betrag, um den die anerkannten Ausgaben die anrechenbaren Einnahmen übersteigen, mindestens jedoch dem höheren der folgenden Beträge (Art. 9 Abs. 1 ELG): a. der höchsten Prämienverbilligung, die der Kanton für Personen festge- legt hat, die weder Ergänzungsleistungen noch Sozialhilfe beziehen; b. 60 % des Pauschalbetrages für die obligatorische Krankenpflegeversi- cherung nach Art. 10 Abs. 3 lit. d ELG. 2.2 Grundsätzlich sind alle wiederkehrenden Leistungen, die nicht unter Art. 11 Abs. 3 ELG fallen, vollumfänglich als Einnahmen anzurech- nen, gleichgültig, ob es sich um Geld- oder um Naturalleistungen handelt (BGE 139 V 574 E. 3.3.3 S. 578). Als Einnahmen anzurechnen sind zwei Drittel der Erwerbseinkünfte in Geld oder Naturalien, die Einkünfte aus beweglichem oder unbeweglichem Ver- mögen sowie unter dem Titel Vermögensverzehr ein Fünfzehntel, bei Al-</w:t>
      </w:r>
    </w:p>
    <w:p>
      <w:r>
        <w:t>Urteil des Verwaltungsgerichts des Kantons Bern vom 25. Juli 2025, EL 200 2024 147 - 5 - tersrentnerinnen und -rentnern ein Zehntel des Reinvermögens, soweit es bei Alleinstehenden Fr. 30'000.-- und bei Ehepaaren Fr. 50'000.-- über- steigt (Art. 11 Abs. 1 lit. a - c ELG). Ebenfalls als Einnahmen angerechnet werden unter anderem Renten, Pensionen und andere wiederkehrende Leistungen, einschliesslich der Renten der AHV und der IV sowie Leistungen aus Verpfründungsvertrag und ähnlichen Vereinbarungen (Art. 11 Abs. 1 lit. d und e ELG). 2.3 Gemäss Art. 9 Abs. 5 lit. b ELG bestimmt der Bundesrat unter an- derem die Bewertung der anrechenbaren Einnahmen, der anerkannten Ausgaben und des Vermögens. Dabei wird ihm ein grosser Ermessens- spielraum zugestanden (Urteil des Bundesgerichts [BGer] 9C_760/2019 vom 7. September 2020 E. 3.2). Von dieser delegierten Rechtsetzungs- kompetenz hat der Bundesrat unter anderem mit Erlass von Art. 15c der Verordnung vom 15. Januar 1971 über die Ergänzungsleistungen zur Al- ters-, Hinterlassenen- und Invalidenversicherung (ELV; SR 831.301) Ge- brauch gemacht. Nach Abs. 1 dieser Bestimmung ist bei Leibrenten mit Rückgewähr der Rückkaufswert als Vermögen anzurechnen. Gemäss Abs. 3 ist die einzelne Rentenzahlung zu 80 % (lit. a) und ein allfälliger Überschussanteil in vollem Umfang (lit. b) als Einnahme anzurechnen. Das Bundesgericht hat die gleichzeitige Anrechnung der einzelnen Rentenbe- treffnisse und des Rückkaufswertes der Leibrente gemäss Art. 15c ELV als verfassungs- und gesetzeskonform bezeichnet (BGer 9C_760/2019 E. 5.1 - 5.4; vgl. auch AHI 2001 S. 291 E. 3 f.; Urteil des BGer 9C_896/2010 vom 30. Dezember 2010 E. 3.3; Urteil des Eidgenössischen Versicherungsge- richts [EVG, heute BGer] P 33/03 vom 27. November 2003 E. 2 und 3.2.1). 3. 3.1 Die Beschwerdeführerin macht beschwerdeweise geltend, bei den von der B.________ AG ausgerichteten Zahlungen handle es sich nicht um eine lebenslängliche Rente. Bei der vereinbarten Police handle es sich um einen befristeten Auszahlungsplan, analog einem Fondsentnahmeplan. Die Fr. 8'400.-- pro Jahr seien kein Einkommen und würden auch steuerlich nicht so erfasst, sondern ein reiner Kapitalverzehr.</w:t>
      </w:r>
    </w:p>
    <w:p>
      <w:r>
        <w:t>Urteil des Verwaltungsgerichts des Kantons Bern vom 25. Juli 2025, EL 200 2024 147 - 6 - Demgegenüber hält die Beschwerdegegnerin fest (Beschwerdeantwort S. 3 Ziff. 2.2), bei den streitigen Zahlungen handle es sich um anrechenbare Renten. Der Betrag von Fr. 8'400.-- sei korrekterweise in der EL-Berech- nung als Einnahme angerechnet worden. 3.2 Der von der Beschwerdeführerin im Jahr 2012 mit der B.________ AG abgeschlossene Vertrag (vgl. Vertragsbestätigung vom 11. April 2012 [act. II 12/2 f.]) enthält den Begriff "Leibrente" nicht. In der Vertragsbestäti- gung wird eine frei erfundene Bezeichnung "B.________ ..., freie Vorsorge Säule 3b" verwendet. Tatsächlich liegt unbesehen dieser Bezeichnung ein Leibrentenvertrag im Sinne des Rechts der Ergänzungsleistungen vor, zu- mal auch die Beschwerdeführerin gegenüber der Beschwerdegegnerin von einer "Leibesrente" sprach (act. II 49/1). Bei einem Leibrentenvertrag han- delt es sich um einen Unterhaltsvertrag, in dem sich der Leibrentenschuld- ner verpflichtet, einer Person periodisch wiederkehrende Leistungen in Geld während der Lebenszeit zu erbringen. Die Leibrenten können mit oder ohne Rückgewähr abgeschlossen werden (CARIGIET/KOCH, Ergänzungs- leistungen zur AHV/IV, 3. Aufl. 2021, S. 231 Rz. 591). Bei einer Leibrente mit Rückgewähr verfällt das noch nicht verbrauchte Kapital bei einem vor- zeitigen Ableben der versicherten Person nicht, sondern wird an die be- günstigte Person ausbezahlt. Bei einer Leibrente ohne Rückgewähr ver- bleibt das noch nicht verbrauchte Kapital bei der Versicherung. Dafür sind die einzelnen Rentenzahlungen höher (CARIGIET/KOCH, a.a.O., S. 231 f. Rz. 591 Fn. 738). Die Beschwerdeführerin investierte im April 2012 Fr. 126'000.-- im Rahmen einer Einmalzahlung in das vorstehend genannte, der Säule 3b zugerech- nete Produkt mit einer Laufzeit von 15 Jahren, für welches die Anbieterin der Versicherungsaufsicht unterstellt ist (act. II 12/3 unten). Die B.________ AG hat sich vertraglich zur monatlichen Auszahlung eines über die ganze Laufzeit garantierten Betrags (Fr. 700.--) und eines bei Ver- tragsende vorhandenes Fondsguthaben am Ende der Laufzeit verpflichtet. Daneben ist der Broschüre "..." (vgl. &lt;www.....ch/...) auf Seite 24 betreffend das genannte Produkt zu entnehmen, dass die Erben im Todesfall das noch nicht verbrauchte Kapital erhalten. Beim von der Beschwerdeführerin abgeschlossenen Vertrag handelt es sich somit um einen Leibrentenvertrag</w:t>
      </w:r>
    </w:p>
    <w:p>
      <w:r>
        <w:t>Urteil des Verwaltungsgerichts des Kantons Bern vom 25. Juli 2025, EL 200 2024 147 - 7 - mit Rückgewähr im Sinne von Art. 15c ELV. Die monatlich ausgerichteten Rentenzahlungen der B.________ AG sind dementsprechend als Einnah- me in der EL-Berechnung anzurechnen; dies allerdings entgegen der Vor- gehensweise der Beschwerdegegnerin nicht zu 100 %, sondern lediglich zu 80 % (vgl. E. 2.3 hiervor). 3.3 An der grundsätzlichen Anrechenbarkeit der monatlichen Zahlungen ändert nichts, dass diese aus steuerrechtlicher Sicht offenbar nicht als Ein- kommen betrachtet werden (vgl. Beschwerde S. 1; act. II 43/1). Wie das Bundesgericht im Urteil 9C_760/2019 vom 7. September 2020 E. 5.2.2 und 5.2.3 dargelegt hat, ist die EL-rechtliche Betrachtung eigenständig und von der steuerrechtlichen Behandlung unabhängig. Die EL-rechtlichen Rege- lungen dienen denn auch vorab der Missbrauchsbekämpfung, wobei uner- heblich ist, ob ein Missbrauch vorliegt oder nicht, weshalb es dem Verord- nungsgeber unbenommen war, die hier zur Anwendung zu bringende Re- gelung in schematischer Weise zu erlassen. Würde das von der Beschwer- deführerin von der B.________ AG bezogene (offensichtlich leibrentenglei- che) Produkt nicht den Regeln der Ergänzungsleistungen zur Leibrente unterstellt, so würde dies letztlich bedeuten, dass Versicherer rein durch eine andere Bezeichnung ihrer Produkte es den Versicherten ermöglichen könnten, sich der Regelung der Ergänzungsleistungen zu entziehen, womit die vom Gesetz- und Verordnungsgeber anvisierte Verhinderung von Miss- brauch (BGer 9C_760/2019 E. 5.2.3 und 5.3) umgangen würde. 3.4 Nach dem Dargelegten ist der angefochtene Einspracheentscheid vom 26. Januar 2024 (act. II 62) dahingehend abzuändern, als in der EL- Berechnung die monatliche Zahlung der B.________ an die Beschwerde- führerin von Fr. 700.-- zu 80 %, ausmachend Fr. 560.--, bzw. pro Jahr Fr. 6'720.-- als anrechenbare Einnahme zu berücksichtigen ist. Im Übrigen ist die Beschwerde abzuweisen. 4. 4.1 In Anwendung von Art. 1 Abs. 1 ELG i.V.m. Art. 61 lit. fbis ATSG (Umkehrschluss; vgl. auch BBl 2018 1639) sind keine Verfahrenskosten zu erheben.</w:t>
      </w:r>
    </w:p>
    <w:p>
      <w:r>
        <w:t>Urteil des Verwaltungsgerichts des Kantons Bern vom 25. Juli 2025, EL 200 2024 147 - 8 - 4.2 Da der Aufwand für die Beschwerdeführung nicht das Mass des- sen überstieg, was der Einzelnen zur Besorgung eigener Angelegenheiten zugemutet werden darf, hat die anwaltlich nicht vertretene Beschwerdefüh- rerin trotz ihres teilweisen Obsiegens keinen Anspruch auf Ausrichtung einer Parteientschädigung (BGE 127 V 205 E. 4b S. 207). Demnach entscheidet die Einzelrichterin: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