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409 vom 1. Mai 2023</w:t>
      </w:r>
    </w:p>
    <w:p>
      <w:r>
        <w:t>BE Verwaltungsgericht, 2023-05-01, DE</w:t>
      </w:r>
    </w:p>
    <w:p>
      <w:r>
        <w:rPr>
          <w:b/>
        </w:rPr>
        <w:t xml:space="preserve">Quelle: </w:t>
      </w:r>
      <w:r>
        <w:t>https://mcp.opencaselaw.ch/entscheid/be_verwaltungsgericht_200_2023_409</w:t>
      </w:r>
    </w:p>
    <w:p>
      <w:r>
        <w:t>FR: BE_VERWALTUNGSGERICHT 200 2023 409 du 1 mai 2023</w:t>
      </w:r>
    </w:p>
    <w:p>
      <w:r>
        <w:t>IT: BE_VERWALTUNGSGERICHT 200 2023 409 del 1 maggio 2023</w:t>
      </w:r>
    </w:p>
    <w:p>
      <w:pPr>
        <w:pStyle w:val="Heading2"/>
      </w:pPr>
      <w:r>
        <w:t>Regeste</w:t>
      </w:r>
    </w:p>
    <w:p>
      <w:r>
        <w:t>Einspracheentscheid vom 1.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7. März 2023 (act. IIA 80-83) bestätigende Einspracheentscheid Nr. ER RD 346/2023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2 der Verordnung vom 31. August 1983 über die obligatorische Arbeitslosenversicherung und die Insolvenzentschädigung [AVIV; SR 837.02]).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