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364 vom 27. April 2023</w:t>
      </w:r>
    </w:p>
    <w:p>
      <w:r>
        <w:t>BE Verwaltungsgericht, 2023-04-27, DE</w:t>
      </w:r>
    </w:p>
    <w:p>
      <w:r>
        <w:rPr>
          <w:b/>
        </w:rPr>
        <w:t xml:space="preserve">Quelle: </w:t>
      </w:r>
      <w:r>
        <w:t>https://mcp.opencaselaw.ch/entscheid/be_verwaltungsgericht_200_2023_364</w:t>
      </w:r>
    </w:p>
    <w:p>
      <w:r>
        <w:t>FR: BE_VERWALTUNGSGERICHT 200 2023 364 du 27 avril 2023</w:t>
      </w:r>
    </w:p>
    <w:p>
      <w:r>
        <w:t>IT: BE_VERWALTUNGSGERICHT 200 2023 364 del 27 aprile 2023</w:t>
      </w:r>
    </w:p>
    <w:p>
      <w:pPr>
        <w:pStyle w:val="Heading2"/>
      </w:pPr>
      <w:r>
        <w:t>Regeste</w:t>
      </w:r>
    </w:p>
    <w:p>
      <w:r>
        <w:t>Bundesgerichtsentscheid vom 27. April 2023 (Rückweisung an Vorinstanz EL 855/21)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Die Mitglieder des Verwaltungsgerichts behandeln als Einzelrichte- rin oder Einzelrichter Beschwerden gegen Nichteintretensverfügungen oder -entscheide (Art. 57 Abs. 2 lit. c GSOG).</w:t>
      </w:r>
    </w:p>
    <w:p>
      <w:r>
        <w:rPr>
          <w:b/>
        </w:rPr>
        <w:t>E. 1.3</w:t>
      </w:r>
    </w:p>
    <w:p>
      <w:r>
        <w:t>Das Gericht überprüft den angefochtenen Entscheid frei und ist an die Begehren der Parteien nicht gebunden (Art. 61 lit. c und d ATSG; Art. 80 lit. c Ziff. 1 und Art. 84 Abs. 3 VRPG). 2. 2.1 Mit – ausschliesslich der Beiständin der Beschwerdeführerin eröff- neter – Verfügung vom 17. September 2021 (act. II 14) verneinte die Be- schwerdegegnerin einen Anspruch auf Ergänzungsleistungen. Dagegen erhob die Gemeinde E.________ mit Schreiben vom 8. November 2021 Einsprache (act. II 15 = act. I 2), auf welche die Beschwerdegegnerin mit</w:t>
      </w:r>
    </w:p>
    <w:p>
      <w:r>
        <w:t>Urteil des Verwaltungsgerichts des Kantons Bern vom 22. Aug. 2023, EL/23/364, Seite 5 Entscheid vom 19. November 2021 (act. II 16) wegen verspäteter Eingabe des Rechtsmittels nicht eintrat. Wie aus den gerichtlich erhobenen Unterla- gen folgt, ist die Gemeinde E.________ die zuständige Sozialhilfebehörde gemäss Art. 7 des Bundesgesetzes vom 24. Juni 1977 über die Zuständig- keit für die Unterstützung Bedürftiger (Zuständigkeitsgesetz, ZUG; SR 851.1; Eingabe der Gemeinde E.________ vom 14. Juli 2023). Nach Art. 20 Abs. 1 der Verordnung vom 15. Januar 1971 über die Ergänzungsleis- tungen zur Alters-, Hinterlassenen- und Invalidenversicherung (ELV; SR 831.301) i.V.m. Art. 67 Abs. 1 der Verordnung vom 31. Oktober 1947 über die Alters- und Hinterlassenenversicherung (AHVV; SR 831.101) kann die Gemeinde E.________ als unterstützende Behörde einen Ergänzungsleis- tungsanspruch im Anmeldeverfahren geltend machen. Insbesondere ver- langte sie die Auszahlung der Leistungen an sie (act. II 1 S. 3), womit sie in ihren vermögensrechtlichen Interessen berührt ist und eine qualifizierte Beziehungsnähe zur Streitsache besteht. Folglich wäre ihr die Verfügung vom 17. September 2021 (act. II 14) zu eröffnen gewesen (Entscheid des Bundesgerichts [BGer] vom 22. März 2023, 8C_583/2022, E. 5.2 mit Hin- weis auf BGE 146 V 331 E. 1.1 S. 333), was nicht geschehen ist. 2.2 Nach Art. 49 Abs. 3 Satz 3 ATSG darf der betroffenen Person aus einer mangelhaften Eröffnung einer Verfügung kein Nachteil erwachsen. Wie in E. 2.1 vorne gezeigt, hätte der Gemeinde E.________ die Verfü- gung vom 17. September 2021 (act. II 14) eröffnet werden müssen, so dass sie sich als (unberücksichtigt gebliebene) Verfügungsadressatin grundsätzlich auf Art. 49 Abs. 3 Satz 3 ATSG berufen kann. Ob und inwie- weit ihr durch die nicht erfolgte Verfügungseröffnung ein Nachteil entstan- den ist, bedarf indessen keiner näheren Betrachtung, da nicht sie gegen den (wiederum gegenüber der Beiständin eröffneten) Einspracheentscheid vom 19. November 2021 (act. II 16) Beschwerde erhoben hat, sondern die Beschwerdeführerin selber. Dieser respektive deren Beiständin gegenüber wurde die Verfügung vom 17. September 2021 jedoch korrekt eröffnet bzw. war die Beschwerdegegnerin mit Blick auf die Anmeldung zum Leistungs- bezug, worin sich die Beiständin unmissverständlich als Bevollmächtigte auswies (act. II 1 S. 12) sowie in Anbetracht der (unbefristeten) Urkunde über die Ernennung zur Beiständin, wonach sie die Beschwerdeführerin gegenüber Behörden und Ämtern vertritt (S. 14), verpflichtet, (auch) ihr die</w:t>
      </w:r>
    </w:p>
    <w:p>
      <w:r>
        <w:t>Urteil des Verwaltungsgerichts des Kantons Bern vom 22. Aug. 2023, EL/23/364, Seite 6 Verfügung zu eröffnen. Indessen erhob die Beschwerdeführerin respektive ihre Beiständin gegen die Verfügung kein Rechtsmittel bzw. nahm sie am Einspracheeverfahren nicht teil. 2.3 Die Beiständin beruft sich in ihrer Eingabe vom 9. Dezember 2021 auf die gegenüber der Gemeinde E.________ nicht erfolgte Eröffnung der Verfügung vom 17. September 2021 und damit (implizit) auf Art. 49 Abs. 3 Satz 3 ATSG. Daraus bzw. aus dem Fehlverhalten der Beschwerdegegne- rin gegenüber der Gemeinde E.________ kann die Beschwerdeführerin jedoch nichts zu ihren Gunsten ableiten. Denn nach dem klaren Wortlaut der Bestimmung ("[a]us einer mangelhaften Eröffnung einer Verfügung darf der betroffenen Person kein Nachteil erwachsen" [Hervorhebung hinzuge- fügt]) kann sich auf den Schutzzweck – das Vermeiden von Nachteilen we- gen einer mangelhaften Verfügungseröffnung – nur die von der mangelhaften Eröffnung betroffene Person respektive Partei berufen. An- ders gewendet schützt Art. 49 Abs. 3 Satz 3 ATSG jene Personen oder Parteien nicht, welchen der Verwaltungsakt mängelfrei – in ordnungs- gemässer Zustellung unter Berücksichtigung aller massgebenden Elemen- te (Schriftlichkeit, Begründung, Rechtsmittelbelehrung [UELI KIESER, Kommentar zum ATSG, 4. Aufl. 2020, Art. 49 N. 70]) – eröffnet wurde und die in der Folge auf die Erhebung eines Rechtsmittels verzichten. Vorliegend ist allein die Gemeinde E.________ vom Eröffnungsmangel betroffen. Demgegenüber wurde die Beschwerdeführerin dadurch, dass die Verfügung vom 17. September 2021 der Gemeinde E.________ – unzutref- fenderweise (vgl. E. 2.1 vorne) – nicht eröffnet wurde, in ihren Parteirech- ten in keiner Weise benachteiligt. Die Erhebung eines Rechtsmittels im Verwaltungsverfahren wurde hinsichtlich der Beschwerdeführerin weder eingeschränkt noch vereitelt. Vielmehr wurde die Verfügung ihr bzw. der Beiständin korrekt eröffnet (vgl. E. 2.2 vorne). Indem die Beschwerdeführe- rin auf die Einspracheerhebung verzichtete und sich nunmehr auf einen – allein gegenüber der Gemeinde E.________ erfolgten – Eröffnungsmangel beruft, handelt sie deshalb widersprüchlich bzw. rechtsmissbräuchlich, wo- bei Rechtsmissbrauch keinen bösen Willen voraussetzt (BGE 131 V 97 E. 4.3.3 S. 105). Denn Rechtsmissbrauch liegt insbesondere dann vor, wenn ein Rechtsinstitut zweckwidrig zur Verwirklichung von Interessen verwendet wird, die dieses Rechtsinstitut nicht schützen will (BGE 130 I 26 E. 8.1 S.</w:t>
      </w:r>
    </w:p>
    <w:p>
      <w:r>
        <w:t>Urteil des Verwaltungsgerichts des Kantons Bern vom 22. Aug. 2023, EL/23/364, Seite 7 60, 127 II 49 E. 5a S. 56; Entscheid des Eidgenössischen Versicherungs- gerichts [EVG; heute BGer] vom 14. Dezember 2004, H 157/04, E. 3.3.1). 2.4 Zusammenfassend hat es mit dem Nichteintretensentscheid vom 19. November 2021 sein Bewenden. Die Beschwerde ist abzuweisen, so- weit darauf eingetreten werden kann. 3. 3.1 In Anwendung von Art. 1 Abs. 1 ELG i.V.m. Art. 61 lit. fbis ATSG (Umkehrschluss; vgl. auch BBI 2018 1639) sind keine Verfahrenskosten zu erheben. 3.2 Bei diesem Verfahrensausgang hat die Beschwerdeführerin keinen Anspruch auf eine Parteientschädigung (Art. 1 Abs. 1 ELG i.V.m. Art. 61 lit. g ATSG [Umkehrschluss]).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örtliche Zuständigkeit ist gegeben (Entscheid des BGer vom 27. April 2023, 9C_489/2022). Die Beiständin der Beschwerdeführerin ist zur Pro- zessführung befugt (act. I 1 = act. III). Frist (Art. 60 ATSG) und Form (Art. 61 lit. b ATSG; Art. 81 Abs. 1 i.V.m. Art. 32 des kantonalen Gesetzes vom 23. Mai 1989 über die Verwaltungsrechtspflege [VRPG; BSG 155.21]) sind eingehalten. Die Beschwerdeführerin hat am Einsprachverfahren nicht teil- genommen; ob trotzdem auf ihre Beschwerde einzutreten ist, kann offen bleiben, da diese aus materiellen Gründen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