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122 vom 20. Januar 2023</w:t>
      </w:r>
    </w:p>
    <w:p>
      <w:r>
        <w:t>BE Verwaltungsgericht, 2023-01-20, DE</w:t>
      </w:r>
    </w:p>
    <w:p>
      <w:r>
        <w:rPr>
          <w:b/>
        </w:rPr>
        <w:t xml:space="preserve">Quelle: </w:t>
      </w:r>
      <w:r>
        <w:t>https://mcp.opencaselaw.ch/entscheid/be_verwaltungsgericht_200_2023_122</w:t>
      </w:r>
    </w:p>
    <w:p>
      <w:r>
        <w:t>FR: BE_VERWALTUNGSGERICHT 200 2023 122 du 20 janvier 2023</w:t>
      </w:r>
    </w:p>
    <w:p>
      <w:r>
        <w:t>IT: BE_VERWALTUNGSGERICHT 200 2023 122 del 20 gennaio 2023</w:t>
      </w:r>
    </w:p>
    <w:p>
      <w:pPr>
        <w:pStyle w:val="Heading2"/>
      </w:pPr>
      <w:r>
        <w:t>Regeste</w:t>
      </w:r>
    </w:p>
    <w:p>
      <w:r>
        <w:t>Einspracheentscheid vom 20. Januar 2023 (Dossier-Nr. 3342622)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Januar 2023 (AB 2). Streitig und zu prüfen ist der Bestand (Verität) der von der Beschwerdegegnerin gegenüber dem Beschwerdeführer geltend gemach- ten Prämienforderung betreffend die Zeit vom 1. März bis 30. Juni 2022 im Umfang von Fr. 1'317.-- nebst Zins zu 5 % seit dem 1. Mai 2022 sowie Mahn- und Bearbeitungskosten in der Höhe von Fr. 130.--. Weiter zu beur- teilen sind die Voraussetzungen für die Aufhebung des Rechtsvorschlages in der Betreibung Nr. … des Betreibungsamtes …, Dienststelle ….</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Juni 2023, KV/23/122, Seite 4 2. 2.1 In formeller Hinsicht macht der Beschwerdeführer vorab sinn- gemäss eine Verletzung des rechtlichen Gehörs geltend. 2.1.1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2022 IV Nr. 37 S. 122 E. 5.1). 2.1.2 Die Rüge des Beschwerdeführers, die Beschwerdegegnerin habe ihre Begründungspflicht verletzt, indem sie nicht auf seine Einsprache ein- gegangen sei (Beschwerde S. 3 Art. 4), verfängt nicht. Die Beschwerde- gegnerin musste sich nicht mit jeder tatbeständlichen Behauptung in der Einsprache auseinandersetzen, sondern durfte sich auf die für den Ent- scheid wesentlichen Gesichtspunkte beschränken (vgl. E. 2.1.1 hiervor). Sie legte – mit Blick auf das rechtliche Gehör – hinlänglich und bezugneh- mend auf die Argumente des Beschwerdeführers dar, weshalb sie an der Verfügung vom 18. November 2022 (AB 5) festhalte. Insbesondere zeigte sie auf, weshalb der Beschwerdeführer, anders als in der Einsprache (AB 4 S. 2 ff.) behauptet, weiterhin bei ihr versichert ist (AB 2 S. 2 Ziff. 2 ff.). 2.2 Sämtliche weitere in formeller Hinsicht angebrachte Kritik (der Ein- spracheentscheid sei geheftet, gefaltet, ungenügend signiert, es fehlten Leerschläge und es sei nicht einmal die richtige Seitenzahl notiert worden</w:t>
      </w:r>
    </w:p>
    <w:p>
      <w:r>
        <w:t>Urteil des Verwaltungsgerichts des Kantons Bern vom 9. Juni 2023, KV/23/122, Seite 5 [Beschwerde S. 2 Art. 3]) ist unbegründet. Insbesondere ist der Einspra- cheentscheid vom 20. Januar 2023 (AB 2) signiert und es besteht keine gesetzliche Regelung, wonach Entscheide nicht geheftet oder gefaltet wer- den dürfen. Der Einspracheentscheid (AB 2) weist keine Fehler formeller Natur auf, woran kleinere Tippfehler nichts ändern. Im Übrigen erhob der Beschwerdeführer rechtzeitig Beschwerde. Demnach wären ihm – selbst bei der Annahme einer mangelhaften Eröffnung – daraus keine Nachteile erwachsen (Art. 49 Abs. 3 ATSG; vgl. auch BGE 122 V 189 E. 2 S. 194; SVR 2019 IV Nr. 64 S. 208 E. 5.3). 3. 3.1 Jede Person mit Wohnsitz in der Schweiz muss sich innert drei Mo- naten nach der Wohnsitznahme oder der Geburt in der Schweiz für Kran- kenpflege versichern oder von ihrem gesetzlichen Vertreter beziehungs- weise ihrer gesetzlichen Vertreterin versichern lassen (Art. 3 Abs. 1 des Bundesgesetzes vom 18. März 1994 über die Krankenversicherung [KVG; SR 832.10]). 3.2 Der Versicherer legt die Prämien für seine Versicherten fest (Art. 61 Abs. 1 Satz 1 KVG). Die Prämien sind im Voraus und in der Regel monat- lich zu bezahlen (Art. 90 der Verordnung vom 27. Juni 1995 über die Kran- kenversicherung [KVV, SR 832.102]). Gestützt auf Art. 1 Abs. 1 KVG i.V.m. Art. 26 Abs. 1 ATSG sind für fällige Prämien Verzugszinsen zu leisten. Der Satz beträgt 5 % im Jahr (Art. 105a KVV). Verschuldet die versicherte Person Aufwendungen, die bei rechtzeitiger Zahlung nicht entstanden wären, so kann der Versicherer angemessene Bearbeitungsgebühren erheben, sofern er in seinen allgemeinen Bestim- mungen über die Rechte und Pflichten der Versicherten eine entsprechen- de Regelung vorsieht (Art. 105b Abs. 2 KVV; vgl. BGE 125 V 276). Ziff. 4.6 lit. c der Allgemeinen Versicherungsbedingungen KVG (AVB KVG; abrufbar unter &lt;www.visana.ch&gt; Rubrik Privatkunden &gt; Services &gt; Downloads &gt; AVB Obligatorische Grundversicherung; zwar sind online lediglich die ab 1. Januar 2023 gültigen AVB greifbar, die entsprechende Ziffer blieb ge- genüber den früheren AVB jedoch unverändert [vgl. Urteil des Verwal-</w:t>
      </w:r>
    </w:p>
    <w:p>
      <w:r>
        <w:t>Urteil des Verwaltungsgerichts des Kantons Bern vom 9. Juni 2023, KV/23/122, Seite 6 tungsgerichts des Kantons Bern vom 14. April 2020, KV/2020/52, E. 2.3]) sieht vor, dass die Kosten des Betreibungsverfahrens und andere Spesen den säumigen Versicherten auferlegt werden können; bei einer Mahnung oder Betreibung kann eine Umtriebsentschädigung erhoben werden. Die Höhe der im Zahlungsverzug einer obligatorisch versicherten Person zu erhebenden Kosten steht im Ermessen der Krankenversicherung, soweit sie sich an das Äquivalenzprinzip hält. Das Äquivalenzprinzip verlangt, dass eine Gebühr nicht in einem offensichtlichen Missverhältnis zum fragli- chen Ausstand stehen darf und sich in vernünftigen Grenzen halten muss (SVR 2016 KV Nr. 12 S. 66 E. 4.1). 3.3 Bezahlt die versicherte Person fällige Prämien oder Kostenbeteili- gungen nicht, so hat der Versicherer ihr, nach mindestens einer schriftli- chen Mahnung, eine Zahlungsaufforderung zuzustellen, ihr eine Nachfrist von 30 Tagen einzuräumen und sie auf die Folgen des Zahlungsverzuges hinzuweisen (Art. 64a Abs. 1 KVG). Der Versicherer muss die Zahlungsauf- forderung bei Nichtbezahlung von Prämien und Kostenbeteiligungen spätestens drei Monate ab deren Fälligkeit zustellen. Er muss sie getrennt von allfälligen anderen Zahlungsausständen zustellen (Art. 105b Abs. 1 KVV). Bezahlt die versicherte Person trotz Zahlungsaufforderung die Prä- mien, Kostenbeteiligungen und Verzugszinse nicht innert der gesetzten Frist, so muss der Versicherer die Betreibung anheben (Art. 64a Abs. 2 Satz 1 KVG). Mehrere Forderungen können nur dann in einer einzigen Be- treibung geltend gemacht werden, wenn genau dieselbe Person Gläubige- rin der Forderungen ist bzw. genau dieselben Personen Gläubiger der For- derungen sind (BGE 143 III 221). 3.4 Nach der Rechtsprechung sind die Versicherer befugt, den gegen eine (noch nicht rechtskräftig festgesetzte) Prämienforderung im Bereich der obligatorischen Krankenpflegeversicherung erhobenen Rechtsvor- schlag im Rahmen des Verwaltungsverfahrens mittels Verfügung oder Ein- spracheentscheid aufzuheben (vgl. Art. 79 des Bundesgesetzes vom</w:t>
      </w:r>
    </w:p>
    <w:p>
      <w:r>
        <w:rPr>
          <w:b/>
        </w:rPr>
        <w:t>E. 6</w:t>
      </w:r>
    </w:p>
    <w:p>
      <w:r>
        <w:t>Oktober 2000 über den Allgemeinen Teil des Sozialversicherungsrechts (ATSG; SR 830.1) i.V.m. Art. 54 Abs. 1 lit. a des kantonalen Gesetzes vom</w:t>
      </w:r>
    </w:p>
    <w:p>
      <w:r>
        <w:rPr>
          <w:b/>
        </w:rPr>
        <w:t>E. 6.1</w:t>
      </w:r>
    </w:p>
    <w:p>
      <w:r>
        <w:t>Das vorliegende Verfahren ist kostenpflichtig (Art. 61 Ingress ATSG i.V.m. Art. 102 ff. VRPG und Art. 1 des Dekrets vom 24. März 2010 betref-</w:t>
      </w:r>
    </w:p>
    <w:p>
      <w:r>
        <w:t>Urteil des Verwaltungsgerichts des Kantons Bern vom 9. Juni 2023, KV/23/122, Seite 10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werden entspre- chend dem Ausgang des Verfahrens dem Beschwerdeführer zur Bezah- lung auferlegt und dem geleisteten Kostenvorschuss in gleicher Höhe ent- nommen.</w:t>
      </w:r>
    </w:p>
    <w:p>
      <w:r>
        <w:rPr>
          <w:b/>
        </w:rPr>
        <w:t>E. 6.2</w:t>
      </w:r>
    </w:p>
    <w:p>
      <w:r>
        <w:t>Bei diesem Verfahrensausgang besteht kein Anspruch auf eine Par- teientschädigung (Umkehrschluss aus Art. 1 Abs. 1 KVG i.V.m. Art. 61 lit. g ATSG). Demnach entscheidet der Einzelrichter:</w:t>
      </w:r>
    </w:p>
    <w:p>
      <w:r>
        <w:rPr>
          <w:b/>
        </w:rPr>
        <w:t>E. 11</w:t>
      </w:r>
    </w:p>
    <w:p>
      <w:r>
        <w:t>April 1889 über Schuldbetreibung und Konkurs [SchKG; SR 281.1]). Dabei muss ausdrücklich auf die Betreibung Bezug genommen und der Rechtsvorschlag als aufgehoben erklärt werden. Die Verwaltungsbehörde fällt in dieser Konstellation nicht nur einen Sachentscheid, sondern handelt</w:t>
      </w:r>
    </w:p>
    <w:p>
      <w:r>
        <w:t>Urteil des Verwaltungsgerichts des Kantons Bern vom 9. Juni 2023, KV/23/122, Seite 7 gleichzeitig auch als Rechtsöffnungsinstanz. Gleiches gilt im Beschwerde- fall für die Gerichte (BGE 121 V 109 E. 2 S. 110, 119 V 329 E. 2b S. 331; SVR 2010 KV Nr. 6 S. 28 E. 2.1). 4. 4.1 Aktenmässig erstellt und inzwischen unbestritten (vgl. demgegenü- ber noch Einsprache [AB 4] S. 2 ff.) ist, dass der Beschwerdeführer im hier relevanten Zeitraum bei der Beschwerdegegnerin obligatorisch kranken- pflegeversichert war, wobei die monatliche Prämie Fr. 329.25 betrug (AB 15). Die von der Beschwerdegegnerin geltend gemachte Forderung im Umfang von Fr. 1'317.-- (AB 2 S. 4 Ziff. 3) setzt sich zusammen aus den Prämienforderungen für die Monate März, April, Mai und Juni 2022 (4 x Fr. 329.25; AB 7 ff.). Entgegen den Ausführungen in der Beschwerde (S. 3 Art. 5) geht aus dem Auszug für die Steuererklärung vom 14. Januar 2023 (Beschwerdebeilage [BB] 7) nicht hervor, dass der Beschwerdeführer die Prämien für das Jahr 2022 vollumfänglich beglichen hat. Bestätigt werden darin einzig die im Jahr 2022 angefallenen Versicherungsprämien (sowie die Krankheitskosten), nicht jedoch, dass diese auch tatsächlich bezahlt wurden. Anderweitige Unterlagen, welche die Begleichung der Prämienfor- derungen belegen, finden sich nicht in den Akten. Abgesehen davon räumt der Beschwerdeführer mit seinen Aussagen, eine allfällige Höhe sowie die Art der Zahlung der Prämien seien zu verhandeln (Beschwerde S. 1 Rechtsbegehren) und die Zahlungen blieben (sozusagen als Motivator) weiter sistiert (Beschwerde S. 4), selber ein, dass er die in Betreibung ge- setzten Prämienforderungen bis anhin nicht beglich. Demnach ist erstellt, dass die Prämienforderungen für die Monate März bis Juni 2022 in der Höhe von insgesamt Fr. 1'317.-- ausstehend sind. Der Beschwerdeführer begründet die Nichtbezahlung der Prämienforde- rungen im Wesentlichen damit, dass die Prämien viel zu hoch angesetzt seien. Diese hätten sich in ca. 15 Jahren verdoppelt und seit 1995 sogar verdreifacht. Dies könne auf lange Sicht nicht gehen (Beschwerde S. 3 Art. 6). Mit dieser pauschalen Kritik an der Höhe der Prämien legt er nicht ansatzweise dar, inwiefern der von der Aufsichtsbehörde genehmigte Prä-</w:t>
      </w:r>
    </w:p>
    <w:p>
      <w:r>
        <w:t>Urteil des Verwaltungsgerichts des Kantons Bern vom 9. Juni 2023, KV/23/122, Seite 8 mientarif (vgl. hierzu Art. 16 Abs. 1 des Bundesgesetzes vom 26. Septem- ber 2014 betreffend die Aufsicht über die soziale Krankenversicherung [Krankenversicherungsaufsichtsgesetz, KVAG; SR 832.12]) gegen Bundes- recht verstösst. Auf die allgemeine Kritik an der Höhe der Versicherungs- prämie und dem System der Krankenpflegeversicherung ist nicht weiter einzugehen (vgl. Entscheid des Bundesgerichts vom 1. Dezember 2008, 9C_658/2007, E. 2.3). Der Vollständigkeit halber erwähnt sei zudem, dass die Tatsache, dass der Beschwerdeführer im Jahr 2022 keine Krankheits- kosten verursachte (BB 7), ihn selbstredend nicht von der Bezahlung der Prämienforderungen befreit (vgl. hierzu Beschwerde S. 3 Art. 5). Demnach erweist sich die vorliegende Forderung als rechtmässig und ist zu schüt- zen. 4.2 Aufgrund der Akten ist sodann weiter erstellt, dass die Beschwerde- gegnerin das gesetzlich vorgeschriebene Mahn- und Vollstreckungsverfah- ren (vgl. E. 3.3 hiervor) korrekt durchführte. Der Beschwerdeführer wurde mit Schreiben vom 14. April 2022 (Prämienausstand für den Monat März 2022; AB 14), vom 19. Mai 2022 (Prämienausstand für den Monat April 2022; AB 12), vom 16. Juni 2022 (Prämienausstand für den Monat Mai 2022; AB 10) und vom 14. Juli 2022 (Prämienausstand für den Monat Juni 2022; AB 8) gemahnt sowie mit Schreiben vom 19. Mai 2022 (AB 13), vom</w:t>
      </w:r>
    </w:p>
    <w:p>
      <w:r>
        <w:rPr>
          <w:b/>
        </w:rPr>
        <w:t>E. 16</w:t>
      </w:r>
    </w:p>
    <w:p>
      <w:r>
        <w:t>Juni 2022 (AB 11), vom 14. Juli 2022 (AB 9) respektive vom 15. Sep- tember 2022 (AB 7) vor Einleitung der Betreibung erneut zur Zahlung auf- gefordert. Dabei wurde dem Beschwerdeführer jeweils eine 30-tägige Nachfrist eingeräumt und er wurde auf die Folgen des Zahlungsverzuges hingewiesen (vgl. E. 3.3 hiervor). 4.3 Für fällige Prämien sind Verzugszinsen zu leisten (vgl. E. 3.2 hier- vor). Da die Prämien im Voraus zu bezahlen sind (vgl. E. 3.2 hiervor), wa- ren diese jeweils bereits am Ende des Vormonats fällig. Wenn also die Be- schwerdegegnerin für die Prämien der Monate März bis Juni 2022 Ver- zugszins ab dem 1. Mai 2022 (AB 2 S. 4) und damit nach dem mittleren Verfalltag verlangt, ist dies nicht zu beanstanden; gleiches gilt für den ge- forderten Zinssatz von 5 % (vgl. E. 3.2 hiervor). 4.4 Die Beschwerdegegnerin ist bei Zahlungsverzug befugt, den säumi- gen Versicherten Mahn- und Bearbeitungskosten aufzuerlegen (vgl. E. 3.2</w:t>
      </w:r>
    </w:p>
    <w:p>
      <w:r>
        <w:t>Urteil des Verwaltungsgerichts des Kantons Bern vom 9. Juni 2023, KV/23/122, Seite 9 hiervor). Da der gemahnte und sich deshalb in Verzug befindliche Be- schwerdeführer die Mahn- und Bearbeitungskosten verursachte und der zusätzliche Aufwand der Beschwerdegegnerin nicht entstanden wäre, wenn dieser die Prämien rechtzeitig bezahlt hätte, ist die Erhebung der angemessen erscheinenden Mahn- und Bearbeitungskosten von Fr. 130.-- (die Mahn- und Bearbeitungskosten wurden im angefochtenen Einspra- cheentscheid vom 20. Januar 2023 von Fr. 350.-- auf Fr. 130.-- reduziert [AB 2 S. 4 Ziff. 2]; zum Äquivalenzprinzip vgl. E. 3.2 in fine hiervor) nicht zu beanstanden. Die Höhe der Mahn- und Bearbeitungskosten wird vom Be- schwerdeführer denn auch nicht bestritten. 4.5 Der Vollständigkeit halber zu erwähnen bleibt, dass die Betrei- bungskosten von Gesetzes wegen geschuldet sind (Art. 68 SchKG) und vom Schuldner bei erfolgreicher Betreibung zusätzlich zum dem Gläubiger zugesprochenen Betrag zu bezahlen sind. Es ist nicht Sache des Kranken- versicherers diese Kosten zu verfügen. Sie bilden nicht Gegenstand des Rechtsöffnungsverfahrens und es braucht dafür keine Rechtsöffnung erteilt zu werden (SVR 2019 BVG Nr. 34 S. 133 E. 3.1.2, 2006 KV Nr. 1 S. 2 E. 4.1; RKUV 2004 S. 465 E. 5.3.2). 5. Nach dem Dargelegten ist der Einspracheentscheid vom 20. Januar 2023 (AB 2) nicht zu beanstanden und die Beschwerde ist abzuweisen. In der Betreibung Nr. … des Betreibungsamtes …, Dienststelle … (AB 6), bleibt der Rechtsvorschlag im Umfang von Fr. 1'317.--, zuzüglich Zins zu 5 % seit dem 1. Mai 2022, sowie Mahn- und Bearbeitungskosten von Fr. 130.-- auf- gehoben und der Beschwerdegegnerin ist in diesem Umfang die definitive Rechtsöffnung zu erteilen.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