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616 vom 11. August 2023</w:t>
      </w:r>
    </w:p>
    <w:p>
      <w:r>
        <w:t>BE Verwaltungsgericht, 2023-08-11, DE</w:t>
      </w:r>
    </w:p>
    <w:p>
      <w:r>
        <w:rPr>
          <w:b/>
        </w:rPr>
        <w:t xml:space="preserve">Quelle: </w:t>
      </w:r>
      <w:r>
        <w:t>https://mcp.opencaselaw.ch/entscheid/be_verwaltungsgericht_200_2022_616</w:t>
      </w:r>
    </w:p>
    <w:p>
      <w:r>
        <w:t>FR: BE_VERWALTUNGSGERICHT 200 2022 616 du 11 août 2023</w:t>
      </w:r>
    </w:p>
    <w:p>
      <w:r>
        <w:t>IT: BE_VERWALTUNGSGERICHT 200 2022 616 del 11 agosto 2023</w:t>
      </w:r>
    </w:p>
    <w:p>
      <w:pPr>
        <w:pStyle w:val="Heading2"/>
      </w:pPr>
      <w:r>
        <w:t>Regeste</w:t>
      </w:r>
    </w:p>
    <w:p>
      <w:r>
        <w:t>Verfügung vom 13. September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13. September 2022 (act. II 118). Streitig und zu prüfen ist der Rentenanspruch, wobei in an- fechtungs- und streitgegenständlicher Hinsicht betreffend die befristete bzw. abgestufte Rentenzusprache ein Rechtsverhältnis vorliegt (BGE 125 V 413; SVR 2019 IV Nr. 33 S. 100 E. 3.2; AHI 2001 S. 278 E. 1a), sodass der Rentenanspruch insgesamt, das heisst unter Einbezug der für den Zeit- raum vom 1. März bis 30. September 2021 zugesprochenen ganzen Rente und der ab dem 1. Oktober 2021 zugesprochenen Viertelsrente, zu prüfen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146 V 364 E. 7.1 S. 370, 144 V 210 E. 4.3.1 S. 213; vgl. auch lit. b und c der Übergangsbestimmungen des IVB zur Änderung vom 19. Juni 2020). Gemäss lit. c der Übergangsbestimmungen gilt für Rentenbezügerinnen und -bezüger das bisherige Recht, sofern der Rentenanspruch vor Inkrafttreten</w:t>
      </w:r>
    </w:p>
    <w:p>
      <w:r>
        <w:t>Urteil des Verwaltungsgerichts des Kantons Bern vom 11. Aug. 2023, IV/22/616, Seite 5 dieser Änderung entstanden ist und sie bei Inkrafttreten dieser Änderung das 55. Altersjahr vollendet haben. Zwar datiert die angefochtene Verfü- gung (vom 13. September 2022 [act. II 118]) nach dem Inkrafttreten der IVG-Änderung vom 19. Juni 2020. Indessen liegt der frühestmögliche Zeit- punkt der potentiellen Entstehung eines Rentenanspruchs mit Blick auf die hier zu beurteilende Anmeldung zum Leistungsbezug von September 2020 (act. II 44) vor dem 1. Januar 2022, während kein anspruchserheblicher Revisionsgrund nach dem 1. Januar 2022 besteht (vgl. hinten E. 3.5). Die 1964 geborene Beschwerdeführerin (vgl. AB 1/1 Ziff. 1.3) hat zudem im Zeitpunkt des Inkrafttretens der Gesetzesänderung das 55. Altersjahr be- reits vollendet. Folglich sind die Bestimmungen des IVG und diejenigen der Verordnung vom 17. Januar 1961 über die Invalidenversicherung (IVV; SR 831.201) in der bis 31. Dezember 2021 gültigen Fassung (aArt.) für die ganze hier zu prüfende Zeit massgebend (vgl. auch Bundesamt für Sozial- versicherungen [BSV], Kreisschreiben über Invalidität und Rente in der Invalidenversicherung [KSIR] Rz. 9100 f.; zur Bedeutung von Verwaltungs- weisungen vgl. BGE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w:t>
      </w:r>
    </w:p>
    <w:p>
      <w:r>
        <w:t>Urteil des Verwaltungsgerichts des Kantons Bern vom 11. Aug. 2023, IV/22/616, Seite 6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2.4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Ändert sich der Invaliditätsgrad einer Rentenbezügerin oder eines Rentenbezügers erheblich, so wird die Rente von Amtes wegen oder auf Gesuch hin für die Zukunft entsprechend erhöht, herabgesetzt oder aufge- hoben (aArt. 17 Abs. 1 ATSG).</w:t>
      </w:r>
    </w:p>
    <w:p>
      <w:r>
        <w:t>Urteil des Verwaltungsgerichts des Kantons Bern vom 11. Aug. 2023, IV/22/616, Seite 7 2.5.1 Wird ein Gesuch um Revision eingereicht, so ist darin glaubhaft zu machen, dass sich der Grad der Invalidität in einer für den Anspruch erheb- lichen Weise geändert hat (Art. 87 Abs. 2 IVV). Wurde eine Rente wegen eines zu geringen Invaliditätsgrades verweigert, so wird eine neue Anmel- dung nur geprüft, wenn die Voraussetzung nach Abs. 2 erfüllt ist (Art. 87 Abs. 3 IVV, vgl. auch BGE 130 V 343 E. 3.5.3 S. 351). Erheblich ist eine Sachverhaltsänderung, wenn angenommen werden kann, der Anspruch auf eine Invalidenrente (oder deren Erhöhung) sei begründet, falls sich die geltend gemachten Umstände als richtig erweisen sollten (SVR 2014 IV Nr. 33 S. 121 E. 2).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2.5.3 Anlass zur Rentenrevision gibt jede wesentliche Änderung in den tatsächlichen Verhältnissen, die geeignet ist, den Invaliditätsgrad und damit den Rentenanspruch zu beeinflussen (BGE 144 I 103 E. 2.1 S. 105, 141 V 9 E. 2.3 S. 10; SVR 2021 IV Nr. 36 S. 110 E. 3.1). 2.5.4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w:t>
      </w:r>
    </w:p>
    <w:p>
      <w:r>
        <w:t>Urteil des Verwaltungsgerichts des Kantons Bern vom 11. Aug. 2023, IV/22/616, Seite 8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3. 3.1 Die Beschwerdegegnerin ist auf die Neuanmeldung von September 2020 (act. II 44) eingetreten und hat mit der angefochtenen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w:t>
      </w:r>
    </w:p>
    <w:p>
      <w:r>
        <w:t>Urteil des Verwaltungsgerichts des Kantons Bern vom 11. Aug. 2023, IV/22/616, Seite 4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September 2022 (act. II 118) gestützt auf den Abklärungsbericht Haus- halt/Erwerb vom 1. Februar 2022 (act. II 100/4 Ziff. 4.3) von der Anwen- dung der allgemeinen Methode des Einkommensvergleichs aus (vgl. vorne E. 2.4; BGE 128 V 29 E. 1 S. 30, 104 V 135 E. 2b S. 136; SVR 2019 BVG Nr. 16 S. 64 E. 4.4.2). Dies ist nicht zu beanstanden. Da die Beschwerde- führerin bereits seit Mai 2014 nicht mehr erwerbstätig ist (vgl. act. II 100/3</w:t>
      </w:r>
    </w:p>
    <w:p>
      <w:r>
        <w:t>Urteil des Verwaltungsgerichts des Kantons Bern vom 11. Aug. 2023, IV/22/616, Seite 20 Ziff. 3.2), eine massgebliche Einschränkung der Arbeitsfähigkeit in der bis- herigen Tätigkeit als … jedoch erst ab Juli 2019 erstellt ist (vgl. act. II 94.2/11 Ziff. 4.7), und die Beschwerdeführerin auch seither keine Erwerbs- tätigkeit mehr aufgenommen hat, ist sowohl für das Valideneinkommen (vgl. dazu BGE 144 I 103 E. 5.3 S. 110; SVR 2022 IV Nr. 22 S. 71 E. 4.2) als auch für das Invalideneinkommen (vgl. dazu BGE 148 V 174 E. 6.2 S. 181, 143 V 295 E. 2.2 S. 297) auf den geschlechterspezifischen Totalwert der lohnstatistischen Tabellenlöhne im untersten Kompetenzniveau der vom Bundesamt für Statistik (BFS) herausgegebenen Schweizerischen Lohnstrukturerhebung (LSE) abzustellen (vgl. auch act. II 100/6 Ziff. 5.3). Die anwendbare allgemeine Methode zur Ermittlung des Invaliditätsgrades und die hierfür massgebenden lohnstatistischen Grundlagen sind zwischen den Parteien denn auch unbestritten. Nachdem Validen- Invalideneinkom- men ausgehend vom gleichen Tabellenlohn zu berechnen sind, erübrigt sich deren genaue Bezifferung. Denn diesfalls entspricht der Invaliditäts- grad dem Grad der Arbeitsunfähigkeit unter Berücksichtigung eines allfälli- gen Abzugs vom Tabellenlohn (Entscheid des BGer vom 27. Juni 2022, 8C_104/2021 [zur Publikation vorgesehen], E. 6.2). 5.2 Ein Abzug vom Tabellenlohn (vgl. dazu BGE 134 V 322 E. 5.2 S. 327, 129 V 472 E. 4.2.3 S. 48) ist im vorliegenden Fall – wie von der Beschwerdegegnerin in der angefochtenen Verfügung zumindest implizit festgehalten und von der rechtskundig vertretenen Beschwerdeführerin nicht bestritten – nicht gerechtfertigt. Die entsprechenden Einschränkungen wurden bereits im Rahmen der gutachterlich attestierten reduzierten Ar- beits- und Leistungsfähigkeit berücksichtigt (vgl. act. II 94.2/11 Ziff. 4.8), weshalb ein zusätzlicher Abzug zu einer unzulässigen doppelten Anrech- nung derselben Gesichtspunkte führen würde (vgl. BGE 148 V 174 E. 6.3 S. 182, 146 V 16 E. 4.1 S. 20). Dies gilt im vorliegend anwendbaren Kom- petenzniveau 1 auch dann, wenn – wie hier – aufgrund des Zumutbar- keitsprofils nicht mehr alle leichten Tätigkeiten möglich sind (vgl. Entscheid des BGer vom 30. Juli 2020, 8C_139/2020, E. 6.3.3). Ebenso wirkt sich die verbleibende Restarbeitsfähigkeit gemessen an der rechtsprechungs- gemäss heranzuziehenden LSE-Tabelle T18 (Entscheid des BGer vom</w:t>
      </w:r>
    </w:p>
    <w:p>
      <w:r>
        <w:rPr>
          <w:b/>
        </w:rPr>
        <w:t>E. 15</w:t>
      </w:r>
    </w:p>
    <w:p>
      <w:r>
        <w:t>April 2020, 9C_782/2019, E. 3.2) gegenüber einer Vollzeitbeschäfti- gung nicht lohnsenkend aus (vgl. BFS, LSE 2020, T18 Monatlicher Brutto-</w:t>
      </w:r>
    </w:p>
    <w:p>
      <w:r>
        <w:t>Urteil des Verwaltungsgerichts des Kantons Bern vom 11. Aug. 2023, IV/22/616, Seite 21 lohn [Zentralwert] nach Beschäftigungsgrad, beruflicher Stellung und Ge- schlecht, Schweiz 2020, ohne Kaderfunktion, Frauen, Teilzeit [50 % bis 74 %]). Anderweitige invaliditätsfremde Gesichtspunkte (Alter, Dienstjahre, Nationalität/Aufenthaltskategorie, Beschäftigungsgrad) sind schliesslich nicht zu beachten, da diese zufolge der je lohnstatistisch bestimmten Ver- gleichseinkommen beidseits zu berücksichtigten wären (Entscheid des BGer vom 19. Januar 2009, 8C_42/2008, E. 5). 5.3 Die Anmeldung zum Leistungsbezug erfolgte im September 2020 (act. II 44), weshalb unter Berücksichtigung der sechsmonatigen Karenz- frist gemäss Art. 29 Abs. 1 IVG (vgl. vorne E. 2.4) der frühestmögliche Ren- tenbeginn auf den 1. März 2021 fällt. Angesichts der ab Juli 2019 erstellten Arbeitsunfähigkeit von mindestens 40 % in der bisherigen Tätigkeit als … (act. II 94.2/10 Ziff. 4.7; vgl. dazu vorne E. 3.5) wäre auch das Wartejahr gemäss Art. 28 Abs. 1 lit. b IVG (vgl. vorne E. 2.4) in diesem Zeitpunkt er- füllt (zu den verschiedenen Funktionen dieser Fristen vgl. BGE 142 V 547 E. 3.2 S. 550 f.). Indes ist erst per Juli 2021 eine massgebende Einschrän- kung der Arbeitsfähigkeit in einer angepassten Tätigkeit erstellt (vgl. vorne E. 3.4.5 und 3.5). Bis Ende Juni 2021 betrug der Invaliditätsgrad daher 0 %. Ab 1. Juli 2021 beträgt der Invaliditätsgrad ausgehend von einer Arbeits- fähigkeit in einer angepassten Tätigkeit von 57.5 % ab dem 1. Juli 2021 (vgl. vorne E. 3.5) 43 % (100 % ./. 57.5 %; zur Rundungspraxis vgl. BGE 130 V 121 E. 3.2 und 3.3 S. 123). Folglich hat die Beschwerdeführerin ab dem 1. Juli 2021 Anspruch auf eine Viertelsrente der Invalidenversicherung (vgl. vorne E. 2.4). 5.4 Das Versicherungsgericht kann eine Verfügung oder einen Einspra- cheentscheid zu Ungunsten der Beschwerde führenden Person ändern oder dieser mehr zusprechen, als sie verlangt hat, wobei den Parteien vor- her Gelegenheit zur Stellungnahme sowie zum Rückzug der Beschwerde zu geben ist (sog. reformatio in peius; Art. 61 lit. d ATSG; BGE 144 V 153 E. 4.1.1 f. S. 155; SVR 2007 AHV Nr. 15 S. 42 E. 3.1). Mit prozessleitender Verfügung vom 3. Mai 2023 wurde der Beschwerde- führerin das rechtliche Gehör in Bezug auf die Möglichkeit einer (allfälligen)</w:t>
      </w:r>
    </w:p>
    <w:p>
      <w:r>
        <w:t>Urteil des Verwaltungsgerichts des Kantons Bern vom 11. Aug. 2023, IV/22/616, Seite 22 Schlechterstellung gewährt, womit die Voraussetzungen einer reformatio in peius erfüllt sind. Folglich ist die angefochtene Verfügung (act. II 118) da- hingehend anzupassen, als ab dem 1. Juli 2021 Anspruch auf eine Viertels- rente besteht. 6. Nach dem Dargelegten ist die Beschwerde abzuweisen und die angefoch- tene Verfügung vom 13. September 2021 (AB 118) ist insoweit abzuän- dern, als ab 1. Juli 2021 eine Viertelsrente zuzusprechen ist. 7. 7.1 Die Beschwerdeführerin beantragt die Bewilligung der unentgeltli- chen Rechtspflege unter Beiordnung von Rechtsanwalt B.________ als amtlicher Anwalt (Beschwerde S. 2 Rechtsbegehren Ziff. 3 und S. 6 Rz. 23; vgl. auch Eingabe der Beschwerdeführerin vom 16. November 2022). 7.2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7.3 Die prozessuale Bedürftigkeit ist aufgrund der gemachten Angaben sowie der eingereichten Unterlagen erstellt. Namentlich geht daraus hervor, dass die Beschwerdeführerin über keine (Gesundheits-)Rechtsschutzver- sicherung verfügt (vgl. Eingabe der Beschwerdeführerin vom 16. November 2022, Formular "Angaben zu den wirtschaftlichen Verhältnissen", S. 1 [in den Gerichtsakten]) und gemäss dem SKOS Budget per 1. Oktober 2022 des Sozialdienstes G.________ (Akten der Beschwerdeführerin, act. IA [unpaginiert]) von der Sozialhilfe unterstützt wird. Die Beschwerde ist so-</w:t>
      </w:r>
    </w:p>
    <w:p>
      <w:r>
        <w:t>Urteil des Verwaltungsgerichts des Kantons Bern vom 11. Aug. 2023, IV/22/616, Seite 23 dann auch eingedenk der mit prozessleitenden Verfügung vom 3. Mai 2023 angedrohten Schlechterstellung nicht als von vornherein aussichtslos zu qualifizieren und für das Verfahren erscheint der Beizug einer anwaltlichen Vertretung angezeigt. Demnach ist für das vorliegende Verfahren antrags- gemäss die unentgeltliche Rechtspflege unter Beiordnung von Rechtsan- walt B.________ als amtlicher Anwalt zu bewilligen. 8. 8.1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 sprechend dem Ausgang des Verfahrens der Beschwerdeführerin zur Be- zahlung auferlegt. Aufgrund der gewährten unentgeltlichen Rechtspflege (vgl. E. 7.3 hiervor) wird sie – unter Vorbehalt der Nachzahlungspflicht gemäss Art. 123 der Schweizerischen Zivilprozessordnung (ZPO; SR 272) – jedoch von der Zahlungspflicht befreit (Art. 113 VRPG). 8.2 Ausgangsgemäss besteht gemäss Art. 1 Abs. 1 IVG i.V.m. Art. 61 lit. g ATSG (Umkehrschluss) kein Anspruch auf eine Parteientschädigung. 8.3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w:t>
      </w:r>
    </w:p>
    <w:p>
      <w:r>
        <w:t>Urteil des Verwaltungsgerichts des Kantons Bern vom 11. Aug. 2023, IV/22/616, Seite 24 Der von Rechtsanwalt mit ergänzter Kostennote vom 20. Juni 2023 (in den Gerichtsakten) geltend gemachte Zeitaufwand von 7 Stunden und 10 Minu- ten (bzw. 7.17 Stunden) ist angemessen und die Kostennote im Übrigen nicht zu beanstanden. Folglich ist der tarifmässige Parteikostenersatz in diesem Verfahren auf Fr. 2'337.80 (Fr. 280.-- x 7.17 Stunden, zuzüglich Auslagen von Fr. 164.10 und MWST von Fr. 167.14) festzulegen. Das Ho- norar des amtlichen Anwaltes ist entsprechend auf Fr. 1'433.45 (Fr. 200.-- x 7.17 Stunden), zuzüglich Auslagen von Fr. 164.10 und MWST von Fr. 123.01, total mithin Fr. 1'720.55, festzusetzen und nach Eintritt der Rechtskraft dieses Urteils Rechtsanwalt B.________ aus der Gerichtskas- se zu vergüten. Vorbehalten bleibt die Nachzahlungspflicht nach Art. 123 ZPO. Demnach entscheidet das Verwaltungsgericht: 1. Die Beschwerde wird abgewiesen. 2. Die Verfügung der IV-Stelle Bern vom 13. September 2022 wird inso- weit abgeändert, als der Beschwerdeführerin ab 1. Juli 2021 eine Vier- telsrente zugesprochen wird. 3. Das Gesuch um unentgeltliche Rechtspflege und Beiordnung von Rechtsanwalt B.________ wird gutgeheissen. 4. Die Verfahrenskosten von Fr. 800.-- werden der Beschwerdeführerin zur Bezahlung auferlegt. Aufgrund der gewährten unentgeltlichen Rechtspflege wird die Beschwerdeführerin – unter Vorbehalt der Nach- zahlungspflicht gemäss Art. 123 ZPO – jedoch von der Zahlungspflicht befreit. 5. Es wird keine Parteientschädigung zugesprochen.</w:t>
      </w:r>
    </w:p>
    <w:p>
      <w:r>
        <w:t>Urteil des Verwaltungsgerichts des Kantons Bern vom 11. Aug. 2023, IV/22/616, Seite 25 6. Der tarifmässige Parteikostenersatz des amtlichen Anwalts wird in die- sem Verfahren auf Fr. 2'337.80 (inkl. Auslagen und MWST) festge- setzt. Davon wird Rechtsanwalt B.________ nach Eintritt der Rechts- kraft dieses Urteils aus der Gerichtskasse eine auf Fr. 1'720.55 festge- setzte Entschädigung (inkl. Auslagen und MWST) vergütet. Vorbehal- ten bleibt die Nachzahlungspflicht nach Art. 123 ZPO. 7. Zu eröffnen (R): - Rechtsanwalt B.________ z.H. des Beschwerdeführers - IV-Stelle Bern - Bundesamt für Sozialversicherungen - Steuerverwaltung des Kantons Bern, Bereich Inkasso, Postfach 8334, 3001 Bern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