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521 vom 5. Januar 2023</w:t>
      </w:r>
    </w:p>
    <w:p>
      <w:r>
        <w:t>BE Verwaltungsgericht, 2023-01-05, DE</w:t>
      </w:r>
    </w:p>
    <w:p>
      <w:r>
        <w:rPr>
          <w:b/>
        </w:rPr>
        <w:t xml:space="preserve">Quelle: </w:t>
      </w:r>
      <w:r>
        <w:t>https://mcp.opencaselaw.ch/entscheid/be_verwaltungsgericht_200_2022_521</w:t>
      </w:r>
    </w:p>
    <w:p>
      <w:r>
        <w:t>FR: BE_VERWALTUNGSGERICHT 200 2022 521 du 5 janvier 2023</w:t>
      </w:r>
    </w:p>
    <w:p>
      <w:r>
        <w:t>IT: BE_VERWALTUNGSGERICHT 200 2022 521 del 5 gennaio 2023</w:t>
      </w:r>
    </w:p>
    <w:p>
      <w:pPr>
        <w:pStyle w:val="Heading2"/>
      </w:pPr>
      <w:r>
        <w:t>Regeste</w:t>
      </w:r>
    </w:p>
    <w:p>
      <w:r>
        <w:t>Verfügung vom 6. Juli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6. Juli 2022 (act. II 169). Streitig und zu prüfen ist der Anspruch der Beschwerdeführerin auf eine Invalidenrente der IV und dabei insbesondere die Frage, ob die Be- schwerdegegnerin die bisher ausgerichtete ganze Invalidenrente zu Recht auf das Ende des nach der Zustellung der Verfügung folgenden Monats aufgehoben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5. Jan. 2023, IV/22/521, Seite 5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angefochtene Verfügung vom 6. Juli 2022 (act. II 169), womit sie nach dem Inkrafttreten der IVG-Änderung vom 19. Juni 2020 erging. Indessen erfolgte die revisionsrelevante Änderung im massgebli- chen Sachverhalt vor dem 1. Januar 2022 (vgl. E. 3.2 sowie E. 6.4.1 und E. 6.5.1 hinten), weshalb die Bestimmungen des IVG und diejenigen der Verordnung vom 17. Januar 1961 über die Invalidenversicherung (IVV, SR 831.201) in der bis 31. Dezember 2021 gültigen Fassung (fortan: aArt.) massgebend sind (vgl. auch Ziff. 9102 des Kreisschreibens über Invalidität und Rente in der Invalidenversicherung [KSIR]; zur Bedeutung von Verwal- tungsweisungen vgl. BGE 144 V 195 E. 4.2 S. 198). 2.2 2.2.1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2.2.2 Gemäss aArt. 28 Abs. 2 IVG besteht der Anspruch auf eine ganze Rente, wenn die versicherte Person mindestens 70%, derjenige auf eine Dreiviertelsrente, wenn sie mindestens 60% invalid ist. Bei einem Invali- ditätsgrad von mindestens 50% besteht Anspruch auf eine halbe Rente und</w:t>
      </w:r>
    </w:p>
    <w:p>
      <w:r>
        <w:t>Urteil des Verwaltungsgerichts des Kantons Bern vom 5. Jan. 2023, IV/22/521, Seite 6 bei einem Invaliditätsgrad von mindestens 40% ein solcher auf eine Vier- telsrente. 2.3 2.3.1 Ändert sich der Invaliditätsgrad einer Rentenbezügerin oder eines Rentenbezügers erheblich, so wird die Rente von Amtes wegen oder auf Gesuch hin für die Zukunft entsprechend erhöht, herabgesetzt oder aufge- hoben (aArt. 17 Abs. 1 ATSG). 2.3.2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2.3.3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2.3.4 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t>Urteil des Verwaltungsgerichts des Kantons Bern vom 5. Jan. 2023, IV/22/521, Seite 7 3. 3.1 Mit (unangefochten gebliebener) Verfügung vom 4. Dezember 2001 (act. II 44 S. 3 ff.) sprach die Beschwerdegegnerin der Beschwerde- führerin ab 1. April 1999 eine ganze Invalidenrente zu. Diese wurde mehr- fach (revisionsweise) bestätigt (act. II 55; 72; 94; 112; 131). Dabei steht fest, dass die Verfügung vom 4. Dezember 2001 auf einer materiellen Prü- fung des Rentenanspruchs mit rechtskonformer Sachverhaltsabklärung beruht (BGE 133 V 108). Inwieweit dies auch auf die (den bisherigen Ren- tenanspruch bestätigende) Verfügung vom 5. Februar 2003 (act. II 55) bzw. die späteren formlosen Mitteilungen (act. II 72; 94; 112; 131) zutrifft, welche in Bezug auf den massgeblichen Vergleichszeitpunkt (vgl. E. 2.3.4 vorne) einer rechtskräftigen Verfügung gleichzustellen wären (SVR 2013 IV Nr. 44 S. 135 E. 3.1.2, 2010 IV Nr. 4 S. 8 E. 3.1), wenn – wie hier – keine Verfü- gung verlangt wurde (Art. 74quater Abs. 1 IVV), kann offen bleiben, da der hier massgebliche Revisionsgrund zeitlich ohnehin nach den besagten Verwaltungsakten liegt und insoweit im Hinblick auf alle diese Zeitpunkte zu einer Änderung führt (vgl. E. 3.2 sogleich). Demnach bilden massgebende Vergleichszeitpunkte im vorliegenden Revisionsverfahren die Verfügung vom 4. Dezember 2001 und die nunmehr angefochtene Verfügung vom 6. Juli 2022 (vgl. E. 2.3.4 vorne). 3.2 Die Beschwerdeführerin gebar im … 2020 einen Sohn (act. II 148 S. 1), welchen sie alleinerziehend betreut (act. II 160 S. 2). Ein dadurch bedingter (auch vorliegend erfolgender) Statuswechsel hin zu einer teilzeit- lichen Erwerbstätigkeit gilt seit der am 1. Januar 2018 in Kraft getretenen Verordnungsänderung auch bei einer dem Urteil des Europäischen Ge- richtshofes für Menschenrechte in Sachen Di Trizio gegen Schweiz (7186/09) vom 2. Februar 2016 analogen Konstellation als Revisionsgrund (BGE 147 V 124; vgl. auch E. 2.3.2 vorne). Dies ist denn auch unbestritten. In der Folge ist der Rentenanspruch in rechtlicher und tatsächlicher Hin- sicht allseitig, d.h. unter Berücksichtigung des gesamten für die Leistungs- berechtigung ausschlaggebenden Tatsachenspektrums neu und ohne Bindung an frühere Invaliditätsschätzungen zu prüfen (vgl. E. 2.3.3 vorne).</w:t>
      </w:r>
    </w:p>
    <w:p>
      <w:r>
        <w:t>Urteil des Verwaltungsgerichts des Kantons Bern vom 5. Jan. 2023, IV/22/521, Seite 8 4. Die Beschwerdegegnerin legte im Rahmen des Einkommensvergleichs respektive beim Invalideneinkommen eine medizinisch-theoretische Ar- beitsfähigkeit von 40% in Bezug auf die von der Beschwerdeführerin aus- geübte Tätigkeit als ... zugrunde (act. II 169 S. 1 i.V.m. act. II 160 S. 8-10). 4.1 4.1.1 Im polydisziplinären Gutachten der G.________ (nachfolgend MEDAS) vom 31. Dezember 2013 (act. II 128 S. 26-99), welches vom Haftpflichtversicherer des Unfallverursachers in Auftrag gegeben wurde, wurden interdisziplinär die folgenden Diagnosen gestellt (S. 43 f.): Mit Einfluss auf die Arbeitsfähigkeit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