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49 vom 11. Juli 2022</w:t>
      </w:r>
    </w:p>
    <w:p>
      <w:r>
        <w:t>BE Verwaltungsgericht, 2022-07-11, DE</w:t>
      </w:r>
    </w:p>
    <w:p>
      <w:r>
        <w:rPr>
          <w:b/>
        </w:rPr>
        <w:t xml:space="preserve">Quelle: </w:t>
      </w:r>
      <w:r>
        <w:t>https://mcp.opencaselaw.ch/entscheid/be_verwaltungsgericht_200_2022_49</w:t>
      </w:r>
    </w:p>
    <w:p>
      <w:r>
        <w:t>FR: BE_VERWALTUNGSGERICHT 200 2022 49 du 11 juillet 2022</w:t>
      </w:r>
    </w:p>
    <w:p>
      <w:r>
        <w:t>IT: BE_VERWALTUNGSGERICHT 200 2022 49 del 11 luglio 2022</w:t>
      </w:r>
    </w:p>
    <w:p>
      <w:pPr>
        <w:pStyle w:val="Heading2"/>
      </w:pPr>
      <w:r>
        <w:t>Regeste</w:t>
      </w:r>
    </w:p>
    <w:p>
      <w:r>
        <w:t>Einspracheentscheid vom 3. Dezember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 Dezem- ber 2021 (act. II 63). Streitig und zu prüfen ist der Erlass der Rückforderung von zuviel ausbezahlten EL im Betrag von Fr. 26'183.-- für die Zeit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