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BE_VERWALTUNGSGERICHT 200 2022 317 vom 29. November 2022</w:t>
      </w:r>
    </w:p>
    <w:p>
      <w:r>
        <w:t>BE Verwaltungsgericht, 2022-11-29, DE</w:t>
      </w:r>
    </w:p>
    <w:p>
      <w:r>
        <w:rPr>
          <w:b/>
        </w:rPr>
        <w:t xml:space="preserve">Quelle: </w:t>
      </w:r>
      <w:r>
        <w:t>https://mcp.opencaselaw.ch/entscheid/be_verwaltungsgericht_200_2022_317</w:t>
      </w:r>
    </w:p>
    <w:p>
      <w:r>
        <w:t>FR: BE_VERWALTUNGSGERICHT 200 2022 317 du 29 novembre 2022</w:t>
      </w:r>
    </w:p>
    <w:p>
      <w:r>
        <w:t>IT: BE_VERWALTUNGSGERICHT 200 2022 317 del 29 novembre 2022</w:t>
      </w:r>
    </w:p>
    <w:p>
      <w:pPr>
        <w:pStyle w:val="Heading2"/>
      </w:pPr>
      <w:r>
        <w:t>Regeste</w:t>
      </w:r>
    </w:p>
    <w:p>
      <w:r>
        <w:t>Klage vom 19. Mai 2022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Die Sozialversicherungsrechtliche Abteilung des Verwaltungsge- richts des Kantons Bern ist als einzige kantonale Instanz sachlich und funk- tionell zuständig zur Beurteilung der mit Klage vom 19. Mai 2022 geltend gemachten Ansprüche (Art. 73 Abs. 1 des Bundesgesetzes vom 25. Juni 1982 über die berufliche Alters-, Hinterlassenen- und Invalidenvorsorge [BVG; SR 831.40] i.V.m. Art. 87 lit. c des kantonalen Gesetzes vom 23. Mai 1989 über die Verwaltungsrechtspflege [VRPG; BSG 155.21] und Art. 54 Abs. 1 lit. a des kantonalen Gesetzes vom 11. Juni 2009 über die Organi- sation der Gerichtsbehörden und der Staatsanwaltschaft [GSOG; BSG 161.1]). Die Beklagte hat ihren Sitz im Kanton Bern (vgl. www.zefix.ch), womit das angerufene Gericht zur Behandlung der Klage örtlich zuständig ist (Art. 73 Abs. 3 BVG). Auf die formgerechte (Art. 32 VRPG) Klage ist somit einzutreten.</w:t>
      </w:r>
    </w:p>
    <w:p>
      <w:r>
        <w:rPr>
          <w:b/>
        </w:rPr>
        <w:t>E. 1.2</w:t>
      </w:r>
    </w:p>
    <w:p>
      <w:r>
        <w:t>Streitig und zu prüfen ist der Anspruch des Klägers auf Invaliden- leistungen der beruflichen Vorsorge gegenüber der Beklagten ab dem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