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99 vom 5. Juli 2021</w:t>
      </w:r>
    </w:p>
    <w:p>
      <w:r>
        <w:t>BE Verwaltungsgericht, 2021-07-05, DE</w:t>
      </w:r>
    </w:p>
    <w:p>
      <w:r>
        <w:rPr>
          <w:b/>
        </w:rPr>
        <w:t xml:space="preserve">Quelle: </w:t>
      </w:r>
      <w:r>
        <w:t>https://mcp.opencaselaw.ch/entscheid/be_verwaltungsgericht_200_2021_99</w:t>
      </w:r>
    </w:p>
    <w:p>
      <w:r>
        <w:t>FR: BE_VERWALTUNGSGERICHT 200 2021 99 du 5 juillet 2021</w:t>
      </w:r>
    </w:p>
    <w:p>
      <w:r>
        <w:t>IT: BE_VERWALTUNGSGERICHT 200 2021 99 del 5 luglio 2021</w:t>
      </w:r>
    </w:p>
    <w:p>
      <w:pPr>
        <w:pStyle w:val="Heading2"/>
      </w:pPr>
      <w:r>
        <w:t>Regeste</w:t>
      </w:r>
    </w:p>
    <w:p>
      <w:r>
        <w:t>Verfügung vom 21. Januar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21. Dezember 2020 (act. II 277). Streitig und zu prüfen ist der Rentenanspruch des Beschwer- deführers und in diesem Zusammenhang insbesondere, ob seit der Verfü- gung vom 20. Juni 2014 (act. II 130 S. 2 ff.) eine Veränderung in den tatsächlichen Verhältnissen eingetreten ist.</w:t>
      </w:r>
    </w:p>
    <w:p>
      <w:r>
        <w:t>Urteil des Verwaltungsgerichts des Kantons Bern vom 5. Juli 2021, IV/21/99, Seite 5</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2.2.1 Neben den geistigen und körperlichen Gesundheitsschäden können auch solche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 trächtigung ist, die fachärztlich einwandfrei diagnostiziert worden ist (BGE 145 V 215 E. 5.1 S. 221). Mit der Diagnose eines Gesundheitsschadens ist noch nicht gesagt, dass dieser auch invalidisierenden Charakter hat. Ob dies zutrifft, beurteilt sich gemäss dem klaren Gesetzeswortlaut nach dem Einfluss, den der Gesundheitsschaden auf die Arbeits- und</w:t>
      </w:r>
    </w:p>
    <w:p>
      <w:r>
        <w:t>Urteil des Verwaltungsgerichts des Kantons Bern vom 5. Juli 2021, IV/21/99, Seite 6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 S. 110). 2.2.2 Die Sachverständigen sollen die Diagnose so begründen, dass die Rechtsanwender nachvollziehen können, ob die klassifikatorischen Vorga- ben tatsächlich eingehalten sind (BGE 143 V 124 E. 2.2.2 S. 127, 141 V 281 E. 2.1.1 S. 285). Eine invalidenversicherungsrechtlich erhebliche Ge- sundheitsbeeinträchtigung liegt nur vor, wenn die Diagnose im Rahmen einer Prüfung auf der ersten Ebene auch unter dem Gesichtspunkt der Ausschlussgründe nach BGE 131 V 49 standhält. Danach liegt regelmässig keine versicherte Gesundheitsschädigung vor, soweit die Leistungsein- schränkung auf Aggravation oder einer ähnlichen Erscheinung beruht (BGE 141 V 281 E. 2.2.1 S. 287). Gemäss höchstrichterlicher Rechtsprechung erfolgt die Prüfung, ob ein psychischer Gesundheitsschaden eine renten- begründende Invalidität zu bewirken vermag, schliesslich anhand eines strukturierten normativen Prüfungsrasters (BGE 143 V 418 E. 7 S. 427, 141 V 281 E. 4.1 S. 296). Dies gilt für sämtliche psychischen Störungen (BGE 143 V 418 E. 7.2 S. 429). 2.3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t>Urteil des Verwaltungsgerichts des Kantons Bern vom 5. Juli 2021, IV/21/99, Seite 7 2.4 Ändert sich der Invaliditätsgrad einer Rentenbezügerin oder eines Rentenbezügers erheblich, so wird die Rente von Amtes wegen oder auf Gesuch hin für die Zukunft entsprechend erhöht, herabgesetzt oder aufge- hoben (Art. 17 Abs. 1 ATSG). 2.4.1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2018 UV Nr. 22 S. 79 E. 2.2.1). 2.4.2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 2.4.3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2019 IV Nr. 39 S. 124 E. 5).</w:t>
      </w:r>
    </w:p>
    <w:p>
      <w:r>
        <w:t>Urteil des Verwaltungsgerichts des Kantons Bern vom 5. Juli 2021, IV/21/99, Seite 8 2.4.4 Als zeitliche Vergleichsbasis ist einerseits der Sachverhalt im Zeit- punkt der ursprünglichen Rentenverfügung und anderseits derjenige zur Zeit der streitigen Revisionsverfügung zu berücksichtigen (BGE 130 V 343 E. 3.5.2 S. 351, 125 V 368 E. 2 S. 369; SVR 2010 IV Nr. 53 S. 166 E. 3.1). 2.5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3. 3.1 Die Verwaltung ist auf die Neuanmeldung vom Februar 2017 (act. II 160) eingetreten, weshalb die Eintretensfrage praxisgemäss nicht zu beurteilen ist (BGE 109 V 108 E. 2b S. 114). Indes ist durch einen Ver- gleich des Sachverhalts im Zeitpunkt der Verfügung vom 20. Juni 2014 (act. II 130 S. 2 ff.) – als letztmals eine allseitige Überprüfung der Leis- tungsvoraussetzungen erfolgte – mit demjenigen Sachverhalt im Zeitpunkt der vorliegend angefochtenen Verfügung vom 21. Dezember 2020 (act. II 277) zu prüfen, ob in den tatsächlichen Verhältnissen eine wesentli- che Änderung eingetreten ist, die geeignet ist, den Invaliditätsgrad in an- spruchsbegründender Weise zu beeinflussen (vgl. E. 2.4 hiervor). Mit Urteil des Verwaltungsgerichts des Kantons Bern vom 24. September 2018, IV/2018/354 (act. II 200), wurden in Bezug auf die kardiologische Erkrankung ungenügende Abklärungen festgestellt (E. 3.4.4). Die Sache wurde daher zu weiteren Abklärungen im Sinne der Erwägungen an die Beschwerdegegnerin zurückgewiesen (E. 3.6). Was die übrige medizini- sche Sachlage betraf, hielt das Gericht fest, dass keine Veränderung aus- gewiesen sei.</w:t>
      </w:r>
    </w:p>
    <w:p>
      <w:r>
        <w:t>Urteil des Verwaltungsgerichts des Kantons Bern vom 5. Juli 2021, IV/21/99, Seite 9 3.2 Hinsichtlich des der Verfügung vom 20. Juni 2014 zugrundeliegen- den Sachverhalts kann integral auf die Ausführungen dieses Gerichts in seinem Urteil vom 24. September 2018, IV/2018/354, E. 3.1 (act. II 200 S. 6 f.), verwiesen werden. Was die Sachverhaltsentwicklung bis zum Er- lass der (gerichtlich aufgehobenen) Verfügung vom 3. April 2018 (act. II 195) betrifft, ist auf die ebendort enthaltene Erwägung 3.2 (act. II 200 S. 7 ff.) zu verweisen. Hinsichtlich der Entwicklung im Nachgang zu VGE IV/2018/354 (act. II 200) ist den Akten in medizinischer Hinsicht das Folgende zu entnehmen: 3.2.1 Im Gutachten der MEDAS D.________ vom 11. März 2020 (act. II 258.1) führten die Dres. med. I.________, Facharzt für Orthopädi- sche Chirurgie und Traumatologie des Bewegungsapparates, J.________, Facharzt für Neurologie, K.________, Facharzt für Neurologie sowie Psychiatrie und Psychotherapie, L.________, Facharzt für Allgemeine In- nere Medizin und Kardiologie, und M.________, Facharzt für Allgemeine Innere Medizin, in der interdisziplinären Gesamtbeurteilung mit Auswirkung auf die Arbeitsfähigkeit folgende Diagnosen auf (S. 8 f. Ziff. 4.2): 1. Chronisches lumbospondylogenes Schmerzsyndrom nach Dekompres- sion und Stabilisation mittels Coflex-Stabilisator vom 1. April 2009 mit möglicher radikulärer Reizung; 2. Sich in Rückbildung befindliche Frozen-Shoulder beidseits mit leicht- bis mittelgradiger Funktionseinschränkung; 3. Kombinierte Persönlichkeitsstörung (ICD-F61); 4. Anhaltende mittelgradige depressive Episode (ICD-10 F32.1); 5. Anhaltende somatoforme Schmerzstörung (ICD-10 F45.4); 6. Koronare 3-Gefäss-Erkrankung - Status nach Vorderwandinfarkt am 22. Januar 2017; - Koronarangiographie am 23. Januar 2017 mit hochgradiger Stenose im proximalen RIVA (linkes Hauptgefäss) – PTCA und Stenteinlage, schwere Stenose im mittleren RIVA – PTCA und 2 x Stenteinlage, schwere Stenose der RCX (2. linkes Hauptgefäss) – PTCA und Sten- teinlage sowie hochgradige Stenose der RCA (rechtes Gefäss) mit PTCA und 2-fach Stenteinlage, Ejektionsfraktion (EF) 65 %; - Re-Koronarangiographie am 22. Januar 2018: nicht signifikante (und damit nicht behandlungswürdige) Instent-Re-Stenose im mittleren RI- VA, übrige behandelte Gefässe mit gutem Ergebnis, EF 65 %. Ohne Auswirkung auf die Arbeitsfähigkeit wurden folgende Diagnosen auf- geführt (S. 9 f. Ziff. 4.2):</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