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827 vom 1. November 2021</w:t>
      </w:r>
    </w:p>
    <w:p>
      <w:r>
        <w:t>BE Verwaltungsgericht, 2021-11-01, DE</w:t>
      </w:r>
    </w:p>
    <w:p>
      <w:r>
        <w:rPr>
          <w:b/>
        </w:rPr>
        <w:t xml:space="preserve">Quelle: </w:t>
      </w:r>
      <w:r>
        <w:t>https://mcp.opencaselaw.ch/entscheid/be_verwaltungsgericht_200_2021_827</w:t>
      </w:r>
    </w:p>
    <w:p>
      <w:r>
        <w:t>FR: BE_VERWALTUNGSGERICHT 200 2021 827 du 1 novembre 2021</w:t>
      </w:r>
    </w:p>
    <w:p>
      <w:r>
        <w:t>IT: BE_VERWALTUNGSGERICHT 200 2021 827 del 1 novembre 2021</w:t>
      </w:r>
    </w:p>
    <w:p>
      <w:pPr>
        <w:pStyle w:val="Heading2"/>
      </w:pPr>
      <w:r>
        <w:t>Regeste</w:t>
      </w:r>
    </w:p>
    <w:p>
      <w:r>
        <w:t>Einspracheentscheid vom 1. November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1. November 2021 (AB 20). Streitig und zu prüfen ist, ob die Be- schwerdegegnerin bei der Berechnung der jährlichen Ergänzungsleistung</w:t>
      </w:r>
    </w:p>
    <w:p>
      <w:r>
        <w:t>Urteil des Verwaltungsgerichts des Kantons Bern vom 16. Mai 2022, EL/21/827, Seite 4 für die Monate Oktober bis Dezember 2020 und für das Jahr 2021 zu Recht keine Gebäudeunterhaltskosten (in Höhe des für die direkte kantonale Steuer anwendbaren Pauschalabzugs von 20% des anerkannten Mietwer- tes – und damit von Fr. 2'122.-- für das Jahr 2020 und Fr. 1'988.-- für das Jahr 2021; vgl. Beschwerde S. 1 i.V.m. AB 16 S. 1 sowie AB 11 S. 5 und AB 13 S. 6 i.V.m. E. 2.5 hiernach) als Ausgaben anerkannt hat. Die richterliche Beurteilung hat sich praxisgemäss auf diese Frage zu be- schränken, wogegen aufgrund der Akten kein Anlass besteht, die unbestrit- ten gebliebenen Positionen der Berechnungen der jährlichen Ergänzungs- leistung für die Monate Oktober bis Dezember 2020 und für die Zeit ab Ja- nuar 2021 in die Prüfung miteinzubeziehen (vgl. BGE 131 V 329 E. 4 S. 330).</w:t>
      </w:r>
    </w:p>
    <w:p>
      <w:r>
        <w:rPr>
          <w:b/>
        </w:rPr>
        <w:t>E. 1.3</w:t>
      </w:r>
    </w:p>
    <w:p>
      <w:r>
        <w:t>Da eine Verfügung über Ergänzungsleistungen aufgrund von de- ren formell-gesetzlicher Ausgestaltung als einer auf das Kalenderjahr be- zogenen Versicherung (Art. 3 Abs. 1 lit. a des Bundesgesetzes vom 6. Ok- tober 2006 über Ergänzungsleistungen zur Alters-, Hinterlassenen- und Invalidenversicherung [ELG; SR 831.30]) in zeitlicher Hinsicht von vornher- ein nur für ein Kalenderjahr Rechtsbeständigkeit entfalten kann (BGE 141 V 255 E. 1.3 S. 258), liegt der Streitwert nach dem in Erwägung 1.2 hiervor Dargelegten von vornherein unter Fr. 20'000.--, weshalb die Beurteilung der Beschwerde in die einzelrichterliche Zuständigkeit fällt (Art. 57 Abs. 1 GSOG), wobei anzumerken bleibt, dass die Beschwerdegegnerin gemäss Art. 25 der Verordnung vom 15. Januar 1971 über die Ergänzungsleistun- gen zur Alters-, Hinterlassenen- und Invalidenversicherung (ELV; SR 831.301) über die jährliche Ergänzungsleistung der Beschwerdeführerin für die Zeit ab 1. Februar 2021 ohnehin neu zu verfügen haben wird, zumal der Ehemann der Beschwerdeführerin, der seit Oktober 2020 in einem Heim gelebt hat (siehe AB 1 S. 3 Ziff. 8.1), gemäss Veränderungsanzeige vom 1. Februar 2021 (AB 17) am 27. Januar 2021 verstorben ist. Mithin ist vorliegend lediglich über die Jährliche Ergänzungsleistung der Beschwer- deführerin für die Monate Oktober bis Dezember 2020 und Januar 2021 zu befinden.</w:t>
      </w:r>
    </w:p>
    <w:p>
      <w:r>
        <w:t>Urteil des Verwaltungsgerichts des Kantons Bern vom 16. Mai 2022, EL/21/827, Seite 5</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ELG und die Änderung vom 29. Januar 2020 der ELV in Kraft getreten. Für Bezügerinnen und Bezüger von Ergänzungsleistungen, für die die EL- Reform insgesamt einen tieferen Betrag der jährlichen Ergänzungsleistun- gen oder einen Verlust des Anspruchs auf eine jährliche Ergänzungsleis- tung zur Folge hat, gilt während dreier Jahren ab Inkrafttreten dieser Ände- rung das bisherige Recht (Abs. 1 der Übergangsbestimmungen zur Ände- rung vom 22. März 2019 [EL-Reform]). Die Vergleichsrechnungen in der Verfügung vom 30. Dezember 2020 für die Zeit ab 1. Januar 2021 (AB 13 S. 6 f.) zeigen, dass das neue Recht für die Beschwerdeführerin günstiger und vorliegend somit ab 1. Januar 2021 anwendbar ist.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grundsätzlich dem Be- trag, um den die anerkannten Ausgaben die anrechenbaren Einnahmen übersteigen (siehe aArt. 9 Abs. 1 ELG in der bis 31. Dezember 2020 gültig gewesenen Fassung sowie Art. 9 Abs. 1 ELG in der seit 1. Januar 2021 in Kraft stehenden Fassung; zur Vermögensschwelle seit 1. Januar 2021: Art. 9a ELG). 2.3 Bei Personen, die nicht dauernd oder längere Zeit (seit 1. Januar 2021: nicht länger als drei Monate) in einem Heim oder Spital leben (zu Hause lebende Personen), fällt unter die Ausgaben in erster Linie der Be-</w:t>
      </w:r>
    </w:p>
    <w:p>
      <w:r>
        <w:t>Urteil des Verwaltungsgerichts des Kantons Bern vom 16. Mai 2022, EL/21/827, Seite 6 trag für den allgemeinen Lebensbedarf pro Jahr (siehe aArt. 10 Abs. 1 lit. a ELG in der bis 31. Dezember 2020 gültig gewesenen Fassung sowie Art. 10 Abs. 1 lit. a ELG in der seit 1. Januar 2021 in Kraft stehenden Fas- sung). Daneben gehören zu den anerkannten Ausgaben der Mietzins einer Wohnung und die damit zusammenhängenden Nebenkosten, die Gewin- nungskosten, die Gebäudeunterhaltskosten, die Beiträge an die Sozialver- sicherungen des Bundes, ein jährlicher (seit 1. Januar 2021 höchstens der tatsächlichen Prämie entsprechender) Pauschalbetrag für die obligatori- sche Krankenpflegeversicherung, geleistete familienrechtliche Unterhalts- beiträge sowie seit 1. Januar 2021 die Netto-Betreuungskosten für die not- wendige und ausgewiesene familienergänzende Betreuung von Kindern, die das 11. Altersjahr noch nicht vollendet haben (siehe aArt. 10 Abs. 1 lit. b und Abs. 3 ELG in der bis 31. Dezember 2020 gültig gewesenen Fas- sung sowie Art. 10 Abs. 1 lit. b und Abs. 3 ELG in der seit 1. Januar 2021 in Kraft stehenden Fassung). 2.4 Bei Personen, die eine Liegenschaft bewohnen, an der sie oder eine andere Person, die in die Berechnung der Ergänzungsleistung einge- schlossen ist, das Eigentum, die Nutzniessung oder ein Wohnrecht haben, wird anstelle des Mietzinses der Mietwert der Liegenschaft als Ausgabe anerkannt. Berücksichtigt wird der effektive Mietwert, höchstens jedoch der Betrag des Mietzinsmaximums, welches zur Anwendung käme, wenn der EL-Bezüger oder die EL-Bezügerin und die weiteren Personen, welche im selben Haushalt wohnen, in einer Mietwohnung leben würden (BBl 2016 7535 f. sowie Art. 10 Abs. 1 lit. c ELG). Bei Personen, die eine Liegenschaft bewohnen, an der sie das Eigentum, die Nutzniessung oder ein Wohnrecht haben, wird für die Nebenkosten ausschliesslich eine Pauschale anerkannt (Art. 16a Abs. 1 und 2 ELV). Bis 31. Dezember 2020 betrug diese Fr. 1'680.-- pro Jahr (aArt. 16a Abs. 3 ELV); seither beträgt sie Fr. 2'520.-- pro Jahr (Art. 16a Abs. 3 ELV). 2.5 Für die Gebäudeunterhaltskosten gilt generell der für die direkte kantonale Steuer im Wohnsitzkanton anwendbare Pauschalabzug (Art. 16 Abs. 1 ELV). Sieht die kantonale Steuergesetzgebung keinen Pauschalab- zug vor, gilt der für die direkte Bundessteuer anwendbare (Art. 16 Abs. 2 ELV). Im Kanton Bern beträgt der kantonale Pauschalabzug gemäss</w:t>
      </w:r>
    </w:p>
    <w:p>
      <w:r>
        <w:t>Urteil des Verwaltungsgerichts des Kantons Bern vom 16. Mai 2022, EL/21/827, Seite 7 Art. 36 Abs. 1 und 4 des kantonalen Steuergesetzes vom 21. Mai 2000 (StG; BSG 661.11) i.V.m. Art. 5 Abs. 2 lit. b der kantonalen Verordnung vom 12. November 1980 über die Unterhalts-, Betriebs und Verwaltungs- kosten von Grundstücken (VUBV; BSG 661.312.51) 10% des Brutto-Ge- bäudeertrages, wenn das Gebäude zu Beginn der Veranlagungsperiode bis zu zehn Jahre alt war, 20% des Brutto-Gebäudeertrages, wenn das Ge- bäude zu Beginn der Veranlagungsperiode über zehn Jahre alt war, wobei als Brutto-Gebäudeertrag der Mietwert oder der Mietzins unter Ausschluss der Heizungs-, Warmwasser und übrigen Nebenkosten gilt (Art. 6 VUBV). 3. 3.1 Die Beschwerdegegnerin bringt gegen die Anrechnung des bean- tragten Pauschalabzugs für die Gebäudeunterhaltskosten in Höhe von 20% des Mietwertes des von der Beschwerdeführerin im Wohnrecht bewohnten Grundstücks (Stockwerkeigentumswohnung mit Nebenraum) vor, anders als im von der Beschwerdeführerin in der Einsprache vom 28. Januar 2021 (AB 16) angeführten Entscheid des Bundesgerichts (BGer) vom 5. März 2018, 9C_489/2017, sei vorliegend nicht vertraglich vereinbart worden, dass die Wohnberechtigten die Lasten des gewöhnlichen Unterhalts zu tragen hätten. Entsprechend könne auch kein Pauschalabzug nach Art. 16 ELV berücksichtigt werden. Das Bundesgericht setze zur Berücksichtigung der Pauschale für Gebäudeunterhaltskosten bei Wohnrechtsberechtigten voraus, dass die Übernahme dieser Kosten explizit vereinbart worden sei (vgl. AB 20 S. 2 sowie Beschwerdeantwort S. 3 Ziff. 2.4). Zudem liege kein Nachweis über die effektive Bezahlung von Gebäudeunterhaltskosten durch die Beschwerdeführerin vor; solche seien denn auch nicht bei der Steuererklärung angegeben worden (vgl. AB 20 S. 2). Dass im Falle der Beschwerdeführerin kein ausschliessliches Wohnrecht vorliege – wie im angefochtenen Einspracheentscheid unter Bezugnahme auf den eine andere Liegenschaft betreffenden (und damit vorliegend un- strittig irrelevanten; vgl. Beschwerdeantwort S. 3 Ziff. 2.2) Schenkungsver- trag vom 21. Dezember 1994 (AB 7) gegen eine Anrechnung der Pauscha- le für Gebäudeunterhaltskosten zusätzlich noch vorgebracht worden war</w:t>
      </w:r>
    </w:p>
    <w:p>
      <w:r>
        <w:t>Urteil des Verwaltungsgerichts des Kantons Bern vom 16. Mai 2022, EL/21/827, Seite 8 (vgl. AB 20 S. 2) – wird in der Beschwerdeantwort zu Recht (siehe AB 16 S. 12 sowie den GRUDIS-Auszug vom 2. März 2022 in den Verfahrensak- ten) nicht mehr geltend gemacht. 3.2 Steht einer berechtigten Person – wie vorliegend der Beschwerde- führerin – ein ausschliessliches Wohnrecht zu, so trägt grundsätzlich sie gemäss Art. 778 Abs. 1 des Schweizerischen Zivilgesetzbuches (ZGB; SR 210) die Lasten des gewöhnlichen Unterhalts. Diese Vorschrift ist dis- positiver Natur (vgl. BGer 9C_489/2017, E. 2 mit Hinweis), das heisst, beim Wohnrecht kann die Lastentragung in Bezug auf den gewöhnlichen Unter- halt auch abweichend von Art. 778 Abs. 1 ZGB geregelt werden. Das dis- positive Recht gilt nur – aber immerhin – bei Fehlen einer abweichenden Vereinbarung. 3.3 Das Bundesgericht führt in BGer 9C_489/2017, Erwägung 2 aus, weil Art. 778 Abs. 1 ZGB dispositiver Natur sei, bleibe in jedem Fall die konkrete Ausgestaltung des Wohnrechts zu prüfen. Nur wenn die berech- tigte Person tatsächlich für die Gebäudeunterhaltskosten aufzukommen habe, rechtfertige sich der (Pauschal-)Abzug nach Art. 16 ELV. Entgegen der Interpretation durch die Beschwerdegegnerin bedeutet dies allerdings nicht, dass der Pauschalabzug nur zu gewähren ist, wenn bei der Ausge- staltung des Wohnrechts explizit vereinbart worden ist, dass die wohn- rechtsberechtigte Person die Gebäudeunterhaltskosten zu übernehmen hat. Vielmehr ist in Übereinstimmung mit der Beschwerdeführerin der Ab- zug bereits dann zu gewähren, wenn in Bezug auf die Tragung der Lasten des gewöhnlichen Unterhalts nichts von der dispositiven Vorschrift von Art. 778 Abs. 1 ZGB Abweichendes vereinbart worden ist und damit eben die wohnrechtsberechtigte Person für den Gebäudeunterhalt aufzukommen hat (vgl. vorstehend E. 3.2). Dass vorliegend etwas von der dispositiven Vorschrift von Art. 778 Abs. 1 ZGB Abweichendes vereinbart worden wäre, wird weder geltend gemacht noch finden sich in den Akten Anhaltspunkte für eine solche Annahme. Vielmehr ist gestützt auf den in den Akten befindlichen Vertragsauszug (AB 16 S. 11) mit überwiegender Wahrscheinlichkeit erstellt, dass die Par- teien diesbezüglich nichts vereinbart haben, womit Art. 778 Abs. 1 ZGB zur Anwendung gelangt.</w:t>
      </w:r>
    </w:p>
    <w:p>
      <w:r>
        <w:t>Urteil des Verwaltungsgerichts des Kantons Bern vom 16. Mai 2022, EL/21/827, Seite 9 3.4 Soweit die Beschwerdegegnerin gegen die Anrechnung des Pau- schalabzugs für Gebäudeunterhaltskosten vorbringt, es liege kein Nach- weis über die effektive Bezahlung von Gebäudeunterhaltskosten durch die Beschwerdeführerin vor, solche seien denn auch nicht bei der Steuerer- klärung angegeben worden (vgl. AB 20 S. 2), ist festzuhalten, dass eine Anrechnung der Pauschale für Gebäudeunterhaltskosten im Sinne von Art. 16 ELV keinen solchen Nachweis erfordert. Wie das Eidgenössische Versicherungsgericht (EVG; heute Bundesgericht) bereits mit Entscheid vom 26. Februar 1987 (ZAK 1987 S. 309 ff.) festge- stellt hat, ist die Gesetzmässigkeit des Pauschalabzugs gemäss Art. 16 ELV zu bejahen. Dabei führte das EVG unter anderem aus, dass der Pau- schalabzug einen Ausgleich zwischen Jahren ohne bzw. mit nur geringen Gebäudeunterhaltskosten und Jahren mit grossen (den Pauschalbetrag übersteigenden) Unterhaltskosten schafft (ZAK 1987 S. 311 f. E. 4). Daraus ergibt sich ohne weiteres, dass die Anrechnung des Pauschalabzugs gemäss Art. 16 ELV für Gebäudeunterhaltskosten nicht voraussetzt, dass im betreffenden Jahr Unterhaltskosten angefallen sind. Vorausgesetzt ist nach dem in Erwägung 3.3 hiervor Dargelegten nur aber immerhin, dass die wohnrechtsberechtigte Person für die Gebäudeunterhaltskosten im Sinne der Kosten für den gewöhnlichen Unterhalt tatsächlich aufzukommen hat, unabhängig davon, ob und in welcher Höhe solche Kosten im jeweili- gen Jahr konkret anfallen resp. angefallen sind. 3.5 Zusammenfassend hat die Beschwerdegegnerin bei der Berech- nung des Anspruchs auf jährliche Ergänzungsleistung der Beschwerdefüh- rerin die Pauschale gemäss Art. 16 ELV für die Gebäudeunterhaltskosten zu Unrecht nicht angerechnet. Da das Wohnrecht an der Stockwerkseigen- tumswohnung gemäss GRUDIS-Auszug vom 2. März 2022 (in den Verfah- rensakten) am 4. Januar 2007 errichtet worden ist, war das betreffende Gebäude zweifellos bereits anfangs 2020 mehr als zehn Jahre alt, womit die Beschwerdegegnerin sowohl in der Berechnung der jährlichen Ergän- zungsleistung für das Jahr 2020 als auch in derjenigen für das Jahr 2021 Unterhaltskosten in Höhe von pauschal 20% des Mietwertes als jährliche Ausgaben hätte anrechnen müssen (vgl. E. 2.5 hiervor). Bei einem Miet- wert von unstrittig Fr. 10'610.-- im Jahr 2020 (AB 11 S. 5) und einem sol-</w:t>
      </w:r>
    </w:p>
    <w:p>
      <w:r>
        <w:t>Urteil des Verwaltungsgerichts des Kantons Bern vom 16. Mai 2022, EL/21/827, Seite 10 chen von unstrittig Fr. 9'940.-- im Jahr 2021 (AB 13 S. 6) ergibt dies anre- chenbare Gebäudeunterhaltskosten für das Jahr 2020 von Fr. 2'122.-- (Fr. 10'610.-- x 0.2) und anrechenbare Gebäudeunterhaltskosten für das Jahr 2021 von Fr. 1'988.-- (Fr. 9'940.-- x 0.2). Damit erhöht sich der An- spruch der Beschwerdeführerin in Bezug auf die Monate Oktober bis Dezember 2020 um monatlich Fr. 177.-- (Fr. 2’122.-- / 12 Monate) auf Fr. 648.-- pro Monat und in Bezug auf den Monat Januar 2021 um Fr. 166.-- (Fr. 1'988.-- / 12 Monate) auf Fr. 690.--. Die Beschwerde ist ent- sprechend gutzuheissen, der angefochtene Einspracheentscheid ist aufzu- heben und der Beschwerdeführerin sind für die Monate Oktober bis Dezember 2020 Fr. 648.-- pro Monat und für den Monat Januar 2021 Fr. 690.-- zuzusprechen (zum vorliegend zu beurteilenden Zeitraum siehe E. 1.3 hiervor). 4. 4.1 In Anwendung von Art. 1 Abs. 1 ELG i.V.m. Art. 61 lit. fbis ATSG (Umkehrschluss; vgl. auch BBl 2018 1639) sind keine Verfahrenskosten zu erheben. 4.2 Die obsiegende Beschwerde führende Person hat Anspruch auf Ersatz der Parteikosten. Diese werden vom Versicherungsgericht festge- setzt und ohne Rücksicht auf den Streitwert nach der Bedeutung der Streit- sache und nach der Schwierigkeit des Prozesses bemessen (Art. 1 Abs. 1 ELG i.V.m. Art. 61 lit. g ATSG). Die Parteientschädigungspflicht ist nicht auf die anwaltsmässige Vertretung beschränkt (BGE 109 V 70 E. 1 S. 71; ZAK 1980 S. 122). Der durch ihren Sohn B.________ vertretenen Beschwerdeführerin ist bei diesem Ausgang des Verfahrens eine ermessensweise auf pauschal Fr. 400.-- festgesetzte Parteientschädigung zuzusprechen.</w:t>
      </w:r>
    </w:p>
    <w:p>
      <w:r>
        <w:t>Urteil des Verwaltungsgerichts des Kantons Bern vom 16. Mai 2022, EL/21/827, Seite 11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