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656 vom 9. Dezember 2021</w:t>
      </w:r>
    </w:p>
    <w:p>
      <w:r>
        <w:t>BE Verwaltungsgericht, 2021-12-09, DE</w:t>
      </w:r>
    </w:p>
    <w:p>
      <w:r>
        <w:rPr>
          <w:b/>
        </w:rPr>
        <w:t xml:space="preserve">Quelle: </w:t>
      </w:r>
      <w:r>
        <w:t>https://mcp.opencaselaw.ch/entscheid/be_verwaltungsgericht_200_2021_656</w:t>
      </w:r>
    </w:p>
    <w:p>
      <w:r>
        <w:t>FR: BE_VERWALTUNGSGERICHT 200 2021 656 du 9 décembre 2021</w:t>
      </w:r>
    </w:p>
    <w:p>
      <w:r>
        <w:t>IT: BE_VERWALTUNGSGERICHT 200 2021 656 del 9 dicembre 2021</w:t>
      </w:r>
    </w:p>
    <w:p>
      <w:pPr>
        <w:pStyle w:val="Heading2"/>
      </w:pPr>
      <w:r>
        <w:t>Regeste</w:t>
      </w:r>
    </w:p>
    <w:p>
      <w:r>
        <w:t>Einspracheentscheid vom 19. Juli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Juli 2021 (act. II 440). Streitig und zu prüfen ist der Anspruch auf eine Invali-</w:t>
      </w:r>
    </w:p>
    <w:p>
      <w:r>
        <w:t>Urteil des Verwaltungsgerichts des Kantons Bern vom 9. Dez. 2021, UV/21/656, Seite 4 denrente sowie auf eine Integritätsentschädigung im Zusammenhang mit dem Ereignis vom 21. Februar 2012 und dabei insbesondere deren Höhe.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 gebrochen sind, werden nach bisherigem Recht gewährt (Abs. 1 der Übergangsbestimmungen zur Änderung vom 25. September 2015 des UVG). Diese intertemporalrechtliche Ausgangslage wirkt sich hier indes nicht entscheidwesentlich aus. 2.2 Die Zusprechung von Leistungen der obligatorischen Unfallversicherung setzt grundsätzlich das Vorliegen eines Berufsunfalles, eines Nichtberufsunfalles oder einer Berufskrankheit voraus (Art. 6 Abs. 1 UVG; SR 832.20).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w:t>
      </w:r>
    </w:p>
    <w:p>
      <w:r>
        <w:t>Urteil des Verwaltungsgerichts des Kantons Bern vom 9. Dez. 2021, UV/21/656, Seite 5 177 E. 3.1 und 3.2 S. 181; SVR 2018 UV Nr. 3 S. 9 E. 3.1, 2012 UV Nr. 2 S. 6 E. 3.1). 2.3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Steht auf- grund einer speziellen Adäquanzprüfung fest, dass ein allfällig bestehender natürlicher Kausalzusammenhang nicht adäquat und damit nicht rechts- genüglich wäre, braucht die Frage, ob der natürliche Kausalzusammen- hang tatsächlich besteht, nicht geprüft zu werden (BGE 135 V 465 E. 5.1 S. 472; SVR 2019 UV Nr. 41 S. 157 E. 7.3). 2.4 2.4.1 Nach der Rechtsprechung hat ein Ereignis dann als adäquate Ursa- che eines Erfolges zu gelten, wenn es nach dem gewöhnlichen Lauf der Dinge und nach der allgemeinen Lebenserfahrung an sich geeignet ist, einen Erfolg von der Art des eingetretenen herbeizuführen, der Eintritt die-</w:t>
      </w:r>
    </w:p>
    <w:p>
      <w:r>
        <w:t>Urteil des Verwaltungsgerichts des Kantons Bern vom 9. Dez. 2021, UV/21/656, Seite 6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2.4.2 Bei organisch objektiv ausgewiesenen Unfallfolgen deckt sich die adäquate Kausalität weitgehend mit der natürlichen Kausalität; die Adäquanz hat hier praktisch keine selbstständige Bedeutung (BGE 140 V 356 E. 3.2 S. 358; SVR 2018 UV Nr. 3 S. 10 E. 3.1). Bei organisch nicht objektiv ausgewiesenen Beschwerden ist für die Beur- teilung der Adäquanz vom augenfälligen Geschehensablauf auszugehen, und es sind je nachdem weitere unfallbezogene Kriterien einzubeziehen. Bei psychischen Fehlentwicklungen nach Unfall werden diese Adäquanzkri- terien unter Ausschluss psychischer Aspekte geprüft (BGE 140 V 356 E. 3.2 S. 358, 115 V 133 E. 6c aa S. 140), während bei Schleudertraumen und äquivalenten Verletzungen der Halswirbelsäule (HWS) sowie Schädel- Hirntraumen auf eine Differenzierung zwischen physischen und psychi- schen Komponenten verzichtet wird (BGE 134 V 109 E. 2.1 S. 112; SVR 2018 UV Nr. 29 S. 101 E. 2.2). Bei psychischen Beschwerden setzt die Bejahung des adäquaten Kausalzusammenhangs grundsätzlich voraus, dass dem Unfallereignis für die Entstehung einer psychisch bedingten Er- werbsunfähigkeit eine massgebende Bedeutung zukommt. Das trifft dann zu, wenn es objektiv eine gewisse Schwere aufweist oder mit anderen Wor- ten ernsthaft ins Gewicht fällt. Für die Beurteilung dieser Frage ist gemäss BGE 115 V 133 E. 6 S. 138 an das objektiv erfassbare Unfallereignis anzu- knüpfen, wobei – ausgehend vom augenfälligen Geschehensablauf mit den sich dabei entwickelnden Kräften – eine Katalogisierung der Unfälle in</w:t>
      </w:r>
    </w:p>
    <w:p>
      <w:r>
        <w:t>Urteil des Verwaltungsgerichts des Kantons Bern vom 9. Dez. 2021, UV/21/656, Seite 7 leichte (banale), im mittleren Bereich liegende und schwere Unfälle vorzu- nehmen ist. Die erlittenen Verletzungen können dabei Rückschlüsse auf die Kräfte, die sich beim Unfall entwickelt haben, gestatten. Abhängig von der Unfallschwere sind je nachdem weitere Kriterien in die Beurteilung ein- zubeziehen. Diese werden unter Ausschluss psychischer Aspekte geprüft (BGE 140 V 356 E. 5.1 S. 359, 129 V 177 E. 4.1 S. 183; SVR 2018 UV Nr. 21 S. 76 E. 4.2, 2011 UV Nr. 10 S. 36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Eindrücklichkeit des Unfalles;</w:t>
      </w:r>
    </w:p>
    <w:p>
      <w:r>
        <w:t>Urteil des Verwaltungsgerichts des Kantons Bern vom 9. Dez. 2021, UV/21/656, Seite 8  die Schwere oder besondere Art der erlittenen (somatischen) Verletzungen, insbesondere ihre erfahrungsgemässe Eignung, psychische Fehlentwick- 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10 E. 5.1). Handelt es sich um einen mittelschwe- ren Unfall im Grenzbereich zu den leichten Unfällen müssen für die Beja- hung der Adäquanz vier Kriterien gegeben sein (SVR 2018 UV Nr. 29 S. 102 E. 4.2.2). Diese Würdigung des Unfalles zusammen mit den objektiven Kriterien führt zur Bejahung oder Verneinung der Adäquanz (BGE 117 V 359 E. 6b S. 367, BGE 115 V 133 E. 6c bb S. 140; vgl. RKUV 1997 U 272 S. 174 E. 4b). 2.5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w:t>
      </w:r>
    </w:p>
    <w:p>
      <w:r>
        <w:t>Urteil des Verwaltungsgerichts des Kantons Bern vom 9. Dez. 2021, UV/21/656, Seite 9 143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2020 UV Nr. 24 S. 96 E. 5.2). 2.6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2018 IV Nr. 27 S. 87 E. 4.2.1). 3. 3.1 Dass das Ereignis vom 21. Februar 2012 (act. II 1 f.) die kumulati- ven Tatbestandsvoraussetzungen des Unfallbegriffs gemäss Legaldefiniti- on (vgl. E. 2.2 hiervor) erfüllt, ist zu Recht unbestritten. Die Beschwerde- gegnerin anerkannte denn auch ihre Leistungspflicht und erbrachte die gesetzlichen Leistungen (act. II 7). 3.2 In medizinischer Hinsicht lässt sich den Akten im Wesentlichen das Folgende entnehmen: 3.2.1 Im Bericht des Spitals C.________, vom 21. Februar 2012 (act. II 30) wurde eine Armplexusparese nach Schulterluxation rechts mit grossem knöchernem Ausriss des Tuberculum majus diagnostiziert. Nach Reposition in Kurznarkose zeige sich eine gute Artikulation mit regelrechter Reposition des Tuberculum majus. Sensomotorische Defizite bestünden weiter, wobei Schmerzempfindungen bereits wahrgenommen würden.</w:t>
      </w:r>
    </w:p>
    <w:p>
      <w:r>
        <w:t>Urteil des Verwaltungsgerichts des Kantons Bern vom 9. Dez. 2021, UV/21/656, Seite 10 3.2.2 Im Bericht der D.________ vom 21. November 2012 (act. II 130) diagnostizierte Dr. med. E.________, Facharzt für Chirurgie und Handchir- urgie, eine spontan regrediente posttraumatische Plexus-parese rechts nach Schulterluxation mit Abriss des Tuberculum majus vom 21. Februar 2012 mit persistenten sensomotorischen Störungen solitär im Ulnarisver- sorgungsgebiet (S. 1). Neun Monate nach traumatischer Schulterluxation rechts mit initial inkompletter Plexusparese habe sich eine Restitution ein- gestellt für die N. radialis und medianus noch nicht aber für die distalen Plexusanteile, insbesondere den N. ulnaris. Einem Arbeitseinsatz stehe nichts mehr im Wege. Repetitive Belastungen, hohe Anforderungen an eine intakte Feinmotorik und das Tragen grösserer Gewichte könnten jedoch erst nach einem Jahr, wenn rechnerisch die Regeneration abgeschlossen sei, abverlangt werden. Empfohlen werde der Behandlungsabschluss nach Regeneration des N. ulnaris, was erst Ende 2013 gewährleistet sein werde. Mit geringer Rücksicht auf die Limitationen könne aber an einem geeigne- ten Arbeitsplatz dennoch eine 100%ige Arbeitsfähigkeit erlangt werden (S. 2). 3.2.3 Im Bericht des Spitals F.________, vom 30. April 2014 (act. II 180) wurde ausgeführt, die motorische Neurographie des N. ulnaris rechts sei inklusive F-Wellen-Analyse normal. Die distale motorische Neurographie des N. ulnaris sei ebenfalls normal. Die sensibel-antidrome Neurographie des N. ulnaris rechts zeige einen Normalbefund. In den sensibel- orthodromen Neurographien beider Nn. Ulnares zeigten sich symmetrische und beidseits normale Befunde. In der Nadelmyographie des M. deltoideus rechts liessen sich diskrete Denervationszeichen bei normaler Willkürakti- vität nachweisen. Die Willison-Analyse sei normal. Die Nadelmyographie des M. interosseus dorsalis zeige einen Normalbefund. Somit gebe es elek- trophysiologisch kein erklärendes Korrelat für die Sensibilitätsstörungen im Ulnarisversorgungsbereich rechts. Die diskreten Denervationszeichen im M. deltoideus rechts entsprächen einem Residualbefund bei Plexusläsion von 2012. 3.2.4 Im Bericht über die Abschlussuntersuchung vom 25. Juli 2014 (act. II 188) nannte der Suva-Kreisarzt Dr. med. G.________, Facharzt für Orthopädische Chirurgie und Traumatologie des Bewegungsapparates, als</w:t>
      </w:r>
    </w:p>
    <w:p>
      <w:r>
        <w:t>Urteil des Verwaltungsgerichts des Kantons Bern vom 9. Dez. 2021, UV/21/656, Seite 11 Diagnosen einen Status nach HWS-Distorsion vom 31. Mai 1986, eine Dis- cushernie C6/C7 unfallfremd und einen Status nach ...unfall vom 21. Fe- bruar 2012 mit/bei Schulterluxation rechts mit Fraktur des Tuberculum ma- jus und distal betonter, inkompletter Plexusparese rechts in Remission. Seit der Untersuchung vom 10. September 2013 (vgl. act. II 167) habe sich kei- ne relevante Befundänderung ergeben, die Ergotherapie sei beendet und die neurologische Verlaufskontrolle habe im Bereich des deltoideus noch leichte Denervationszeichen, distal kein objektivierbarer pathologischer Befund mehr nach Plexusparese gezeigt. An der somatisch- objektivierbaren Situation der rechten oberen Extremität in Bezug auf die Unfallfolgen habe sich in den letzten fünf Monaten nichts mehr verändert und es könne aktuell zweifelsfrei der Fallabschluss erfolgen. Von weiteren Behandlungen könne in Bezug auf die Plexusparese keine relevante Ver- besserung mehr erwartet werden (S. 9). Bezogen auf die Integritätsent- schädigung gemäss UVG Tabelle 1 (Ulnarislähmung distal, 10 % bei ver- bliebenen Residuen mit Hypästhesie in der ulnarisabhängigen Hand) sei das Residuum grosszügigerweise mit dem halben Wert der Parese, näm- lich mit 5 %, zu bewerten. In gleicher Weise sei mit dem Schulterbereich zu verfahren, hier sei bei Hypästhesie im Deltoideusbereich und elektroneuro- graphisch noch knapp nachweisbaren Denervationspontentialen die Erheb- lichkeitsgrenze fraglich, es seien aber trotzdem weitere 5 % hinzuzufügen, somit entstehe ein Gesamtintegritätsschaden von 10 % (act. II 189). 3.2.5 Im interdisziplinären Gutachten der MEDAS H.________, vom 25. August 2015 (act. II 206 S. 2 ff.) zuhanden der IV-Stelle Bern wurden folgen Diagnosen gestellt (S. 32): Diagnosen mit Relevanz für die Arbeitsfähigkeit (angestammte Tätigkeit) • Rezidivierende depressive Störung, derzeit Episode mittelschwer bei ängstlich, selbstunsicherer Persönlichkeitsakzentuierung (ICD-10 F33.1) • Chronische Schmerzstörung mit somatischen und psychischen Faktoren (ICD- 10 F45.41) • Status nach traumatischer Armplexus-Schädigung rechts im Februar 2012 mit Schwerpunkt des unteren Armplexus (funktional zwischenzeitlich weitgehende Restitution, nicht mehr nachweisbare Sensibilitätsstörung, residual nur noch Trömnerreflex-Abschwächung rechts) • Motorische leichte Kraftminderung algophob bei myofaszialem Schmerzsyn- drom (Musculus infrascapularis rechts, ulnare humera-epikondyläre Reizsym- ptomatik rechts)</w:t>
      </w:r>
    </w:p>
    <w:p>
      <w:r>
        <w:t>Urteil des Verwaltungsgerichts des Kantons Bern vom 9. Dez. 2021, UV/21/656, Seite 12 • Zervikal-, Dorsal-, Lumbalsyndrom mit deutlicher muskulärer Dysbalance bei multiplen degenerativen Veränderungen (Bandscheibenprotrusion, foraminalen Einengungen vormals und Myelonkompression) • Knöchern konsolidierte Tuberculum majus-Fraktur mit ganz leichter Dislokation und weitgehend abgeklungenes Schulter-Hand-Syndrom nach einem ...unfall vom 21. Februar 2012 • St. n. Amotio retinae rechts bei Myopie mit familiärer Vitreoretinopathie Diagnosen ohne Relevanz für die Arbeitsfähigkeit • Primäre episodische Migräne, teilweise mit Aura • Zervikalsyndrom ohne klinisch-neurologische radikuläre Reiz- oder Defizitsym- ptomatik bei degenerativer HWS-Pathologie HWK 5-7 • Z. n. Distorsion und Kontusion der HWS 1986, Februar 2013 • Beginnende Retropatellararthrose bds. nach einer alten Prellfolge bds. • Momentan reizfreie Coxa valga bds. • Weitgehend abgeklungene Prellfolgen rechtes Ellenbogengelenk mit medialer Insertionstendopathie rechts • Knick-Spreiz-Fuss • Primäres Offenwinkelglaukom bds., rechts bei Status nach Argonlasertrabeku- loplastik • Pseudophakie und Status nach YAG-Kapsulotomie bds. • Status nach Argonlaserabriegelung der Netzhautperipherie bds. • Status nach Cerclageentfernung rechts • Siccasymptomatik, Esophorie und Hyperphorie rechts Aus psychiatrischer Sicht sei in Zusammenschau der in der Summe und zudem sich wechselseitig beeinflussenden somatischen wie auch psychi- schen Gesundheitsleiden gegenwärtig die Arbeitsfähigkeit eingeschränkt, jedoch erscheine beim aktuellen psychiatrischen Bild eine Steigerung durchaus möglich, wobei aktuell von einer Leistungsfähigkeit von 60 % auszugehen sei. Aus neurologischer Sicht sei davon auszugehen, dass sich die Beschwerdeführerin im Februar 2012 bei einem ...unfall eine Arm- plexusschädigung rechts zugezogen habe, aus welchem sie bis dato noch residuelle Beschwerden schildere. Zwischenzeitlich habe sich die Sympto- matik jedoch deutlich zurückgebildet, die Oberflächensensibilität habe sich normalisiert, es bestehe nur noch ein innerliches subjektives Missempfin- den, welches aber vielmehr einer myofaszialen Symptomatik entspreche. Die noch geklagte Schmerzsymptomatik im Schulterbereich mit Ausstrah- lung in den rechten Arm sei nicht als neuropathischer Schmerz und damit nicht der Plexusschädigung zuzuschreiben, sondern vielmehr einer myo- faszialen Schmerzkettenreaktion. Insbesondere im Areal des Epikondylus humeri ulnaris zeige sich aber auch eine deutliche Schwellung und Druck-</w:t>
      </w:r>
    </w:p>
    <w:p>
      <w:r>
        <w:t>Urteil des Verwaltungsgerichts des Kantons Bern vom 9. Dez. 2021, UV/21/656, Seite 13 empfindlichkeit, welche offensichtlich seit dem Unfallereignis 2012 persis- tiere. Ansonsten seien neurologisch ein unspezifischer Nackenschmerz und eine diffuse myalgische Projektion bis hin zum thorakolumbalen Übergang ebenfalls mit dumpf ziehenden Charakter zu erwähnen. Gegen- wärtig sei nur noch ein leichter, von der Schulter in den rechten Arm ausstrahlender Schmerz als myofasziales Syndrom zu konstatieren. Es könnten keine neuropathischen aus dem Armplexus degenerierenden Schmerzursachen festgestellt werden. Die Armbelastbarkeit rechts sei da- durch derzeit noch leicht behindert, dabei seien insbesondere Arbeiten im Greifraum über Brusthöhe schmerzverstärkend; mechanisch belastende Tätigkeiten der rechten Hand seien derzeit noch nicht geeignet, zumal eine leichte Faustschlussminderung bestehe, insbesondere aber in Form einer Schmerzsymptomatik im humeroepikondylären ulnaren Bereich rechts. Die gegenwärtige Arbeitstätigkeit im ... des I.________ sei entsprechend als körperlich sehr leichte Tätigkeit durchaus möglich, allenfalls seien durch die bei den repetitiven Umwendbewegungen beim Sortieren der ... auftreten- den Mehrbelastungen auch im Schulterbereich rechts vereinzelte Pausen sinnvoll, weshalb die Leistungsfähigkeit maximal um 10 % reduziert er- scheine, das Tagespensum wäre rein neurologisch betrachtet ohne Ein- schränkungen zu werten (S. 29). Aus internistischer Sicht liege keine nen- nenswerte gesundheitliche Störung vor. Aus ophthalmologischer Hinsicht bestehe einwandfrei ein Augenleiden mit Zustand nach mehreren operati- ven Eingriffen rechts mehr als links; das Ausmass der Arbeits- und Leis- tungsfähigkeit sei mit 80 % einzuschätzen. Aus orthopädischer Sicht seien Funktionseinschränkungen der HWS und LWS sowie auch endgradig im rechten Schultergelenk belegbar. Klinisch könne eine beginnende Retropa- tellararthrose beidseits nachgewiesen werden. Belastungsabhängig zeigten sich Reizzustände im rechten Ellbogengelenk im Sinne einer leichten Ex- tensionstendopathie. In leichter Disklokation sei die Tuberculum majus Fraktur rechts nach einer traumatischen Schulterluxation verheilt (S. 30). Die Beschwerdeführerin sei in der Lage, leichte Tätigkeiten mit Heben und Tragen von Gegenständen von 5-10 kg und evtl. auch leichte bis mittel- schwere bis 15 kg in geringem Masse, in rückenschulgerechter Haltung, in temperierten Räumen, einem gut orthopädisch angepassten Arbeitsplatz, im Wechsel zwischen Stehen, Sitzen und Gehen, ohne Zeitdruck, mit Erho- lungspausen zu verrichten. In Zusammenschau der in der Summe und zu-</w:t>
      </w:r>
    </w:p>
    <w:p>
      <w:r>
        <w:t>Urteil des Verwaltungsgerichts des Kantons Bern vom 9. Dez. 2021, UV/21/656, Seite 14 dem sich wechselseitig beeinflussenden somatischen wie psychischen Ge- sundheitsleiden sei gegenwärtig von einer interdisziplinären Gesamtar- beitsfähigkeit von 60 % auszugehen (S. 31) sowohl als ... im ... (vorrangig in Form einer reduzierten Präsenzzeit bei weitgehend erhaltenem Rende- ment) als auch in einer optimal angepassten Verweistätigkeit (S. 33). 3.2.6 Im Bericht des Spitals F.________, vom 3. November 2017 (act. II 277) wurden als Diagnosen ein chronisches Reizsyndrom N. ulnaris rechts infraklavikulär und Sulcus rechts, eine chronische Zervikozephal- obrachialgie rechts bei schwerer Segmentdegeneration C5/6 und C6/7, moderate Degeneration C4/5 mit foraminaler Stenose C6 und C7 rechts, ein Morbus Dupuytren Stadium 0-1 Strahl III und IV Hand links sowie der Verdacht auf ein Stickler-Syndrom mit/bei multiplen Beschwerden des Be- wegungsapparates und chronisch rezidivierende Glaukome mit rezidivie- renden Augenoperationen genannt (S. 1). Die Teilursache der aktuellen Einschränkungen der rechten oberen Extremität sei zu 50 % auf den Unfall zurückzuführen. Die rechte Hand, Ellbogen und Schulter seien sicherlich seit dem 10. September 2013 nicht wesentlich besser geworden aufgrund der multiplen anderen Probleme und dem "Ping-Pong-Effekt". Der M. anconeus epitrochlearis im Sulcus habe keinen Zusammenhang mit dem Unfall (S. 2). Im Bericht vom 15. Januar 2019 nannten die Behandler des Spitals F.________ als Diagnose ein genetisch nachgewiesenes Stickler-Syndrom. Es liege ein genetisches Weichteilsyndrom vor, welches sich zu einem massiven Schmerzproblem ausweite, wenn nicht regelmässig Therapie durchgeführt werde (act. II 322). 3.2.7 Im Verlaufsbericht des Spitals F.________ vom 7. Februar 2019 (act. II 321) wurde ausgeführt, die Neurographien des N. ulnaris rechts sei- en normal. Die distale Neurographie des N. medianus rechts zeige ausser einer leicht verminderten F-Wellen Persistenz einen normalen Befund. We- der klinisch noch elektrophysiologisch liessen sich die Beschwerden einer eindeutigen radikulären oder peripheren Nervenläsion zuordnen (S. 4). Aufgrund der Schmerzqualität sei eine neuropathische Schmerzkomponen- te anzunehmen (S. 5.).</w:t>
      </w:r>
    </w:p>
    <w:p>
      <w:r>
        <w:t>Urteil des Verwaltungsgerichts des Kantons Bern vom 9. Dez. 2021, UV/21/656, Seite 15 3.2.8 Im Gutachten der MEDAS J.________ vom 10. März 2020 (act. II 362) wurden interdisziplinär folgende Diagnosen genannt (S. 11 f.): Unfallkausale Diagnosen mit (passagerem) Einfluss auf die Arbeitsfähigkeit 1. St. nach ...-Kollisions-Unfall am 21. Februar 2012 mit 2. Schulterluxation rechts und Ausrissfraktur des Tuberculum majus humeri rechts - Frozen shoulder rechts 3. Traumatische Armplexusläsion rechts am 21. Februar 2012 (ICD-10 S14.3) - Initialbefunde: komplette Armplexusparese rechts - ENMG (initial am 16. März 2012): EMG M. deltoideus rechts mit pathologi- scher Spontanaktivität, M. biceps brachii mit normaler Aktivität, M. exten- sor digitorum communis mit pathologischer Spontanaktivität, M. abductor pollicis brevis mit pathologischer Spontanaktivität, M. abductor digiti minimi mit pathologischer Spontanaktivität entsprechend einer axonalen Schädi- gung des Armplexus - ENMG (am 30. April 2014): elektrophysiologisch bis auf diskrete Denerva- tionszeichen im M. deltoideus rechts unauffällig - Neurologische Residuen (aktuell): Parästhesien Oberarm rechts so- wie elektrophysiologisch (April 2014): diskrete Denervationszeichen im M. deltoideus rechts; Schulter-positions-/rotationsabhängige Dys- ästhesien bei V.a. narbiger Irritation Unfallfremde Diagnosen mit Einfluss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