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64 vom 3. März 2022</w:t>
      </w:r>
    </w:p>
    <w:p>
      <w:r>
        <w:t>BE Verwaltungsgericht, 2022-03-03, DE</w:t>
      </w:r>
    </w:p>
    <w:p>
      <w:r>
        <w:rPr>
          <w:b/>
        </w:rPr>
        <w:t xml:space="preserve">Quelle: </w:t>
      </w:r>
      <w:r>
        <w:t>https://mcp.opencaselaw.ch/entscheid/be_verwaltungsgericht_200_2021_64</w:t>
      </w:r>
    </w:p>
    <w:p>
      <w:r>
        <w:t>FR: BE_VERWALTUNGSGERICHT 200 2021 64 du 3 mars 2022</w:t>
      </w:r>
    </w:p>
    <w:p>
      <w:r>
        <w:t>IT: BE_VERWALTUNGSGERICHT 200 2021 64 del 3 marzo 2022</w:t>
      </w:r>
    </w:p>
    <w:p>
      <w:pPr>
        <w:pStyle w:val="Heading2"/>
      </w:pPr>
      <w:r>
        <w:t>Regeste</w:t>
      </w:r>
    </w:p>
    <w:p>
      <w:r>
        <w:t>Verfügung vom 7.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7. Dezember 2020 (act. II 140), mit welcher die Beschwerdegegnerin der Beschwerdeführerin befristet eine ganze Invalidenrente vom 1. Dezember 2015 bis 31. August 2016 zugesprochen hat. In anfechtungs- und streitgegenständlicher Hin- sicht liegt ein Rechtsverhältnis vor, wenn rückwirkend eine befristete IV- Rente zugesprochen wird. Wird wie vorliegend nur die Befristung angefoch- ten (Beschwerde S. 2), wird damit die richterliche Überprüfungsbefugnis nicht in dem Sinne eingeschränkt, dass die unbestritten gebliebenen Ren-</w:t>
      </w:r>
    </w:p>
    <w:p>
      <w:r>
        <w:t>Urteil des Verwaltungsgerichts des Kantons Bern vom 3. März 2022, IV/21/64, Seite 4 tenbezugszeiten von der richterlichen Prüfung ausgenommen blieben (BGE 125 V 413). Streitig und zu prüfen ist deshalb der Anspruch auf eine IV-Rente während der ganzen hier in Frage kommenden Zeit.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Am 1. Januar 2022 ist die Änderung vom 19. Juni 2020 des IVG (Weite- rentwicklung der IV; AS 2021 705) in Kraft getreten. Weil in zeitlicher Hin- 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3. März 2022, IV/21/64, Seite 5</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w:t>
      </w:r>
    </w:p>
    <w:p>
      <w:r>
        <w:rPr>
          <w:b/>
        </w:rPr>
        <w:t>E. 2.3.1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2.3.2</w:t>
      </w:r>
    </w:p>
    <w:p>
      <w:r>
        <w:t>Nach aArt. 28a Abs. 3 IVG (in der bis 31. Dezember 2021 gültig gewesenen Fassung)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28a Abs. 2 IVG in der bis 31. Dezember 2021 gültig gewesenen Fassung). In diesem Falle sind der Anteil der Erwerbstätigkeit oder der unentgeltli- chen Mitarbeit im Betrieb des Ehegatten oder der Ehegattin und der Anteil der Tätigkeit im Aufgabenbereich festzulegen und der Invaliditätsgrad in beiden Bereichen zu bemessen (sog. gemischte Methode; BGE 145 V 370 E. 4.1 S. 373, 144 I 21 E. 2.1 S. 23).</w:t>
      </w:r>
    </w:p>
    <w:p>
      <w:r>
        <w:t>Urteil des Verwaltungsgerichts des Kantons Bern vom 3. März 2022, IV/21/64, Seite 6</w:t>
      </w:r>
    </w:p>
    <w:p>
      <w:r>
        <w:rPr>
          <w:b/>
        </w:rPr>
        <w:t>E. 2.3.3</w:t>
      </w:r>
    </w:p>
    <w:p>
      <w:r>
        <w:t>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(aArt. 27bis Abs. 2 Verordnung vom 17. Januar 1961 über die Invalidenversiche- rung [IVV; SR 831.201] in der bis 31. Dezember 2021 gültig gewesenen Fassung). Die Berechnung des Invaliditätsgrades in Bezug auf die Er- werbstätigkeit richtet sich nach Art. 16 ATSG. Dabei sind Validen- und In- valideneinkommen auf der Grundlage einer hypothetischen Vollzeittätigkeit zu ermitteln (BGE 145 V 370). Die prozentuale Erwerbseinbusse wird schliesslich anhand des Beschäftigungsgrads, den die Person hätte, wenn sie nicht invalid geworden wäre, gewichtet (aArt. 27bis Abs. 3 IVV in der bis 31. Dezember 2021 gültig gewesenen Fassung). Für die Berechnung des Invaliditätsgrads in Bezug auf die Betätigung im Aufgabenbereich wird der prozentuale Anteil der Einschränkungen bei der Betätigung im Aufgabenbe- reich im Vergleich zur Situation, wenn die versicherte Person nicht invalid geworden wäre, ermittelt. Er wird anhand des Anteils des Aufgabenbe- reichs gewichtet (aArt. 27bis Abs. 4 IVV in der bis 31. Dezember 2021 gültig gewesenen Fassung). Diese Regelung gilt seit Januar 2018.</w:t>
      </w:r>
    </w:p>
    <w:p>
      <w:r>
        <w:rPr>
          <w:b/>
        </w:rPr>
        <w:t>E. 2.4.1</w:t>
      </w:r>
    </w:p>
    <w:p>
      <w:r>
        <w:t>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Fassung).</w:t>
      </w:r>
    </w:p>
    <w:p>
      <w:r>
        <w:rPr>
          <w:b/>
        </w:rPr>
        <w:t>E. 2.4.2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w:t>
      </w:r>
    </w:p>
    <w:p>
      <w:r>
        <w:t>Urteil des Verwaltungsgerichts des Kantons Bern vom 3. März 2022, IV/21/64, Seite 7 ferner unter Umständen auch dann gegeben, wenn eine andere Art der Bemessung der Invalidität zur Anwendung gelangt oder eine Wandlung des Aufgabenbereichs eingetreten ist (BGE 144 I 103 E. 2.1 S. 105, 141 V 9 E. 2.3 S. 10; SVR 2021 IV Nr. 36 S. 110 E. 3.1).</w:t>
      </w:r>
    </w:p>
    <w:p>
      <w:r>
        <w:rPr>
          <w:b/>
        </w:rPr>
        <w:t>E. 2.4.3</w:t>
      </w:r>
    </w:p>
    <w:p>
      <w:r>
        <w:t>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3.1</w:t>
      </w:r>
    </w:p>
    <w:p>
      <w:r>
        <w:t>Den Akten ist in medizinischer Hinsicht im Wesentlichen das Fol- gende zu entnehmen:</w:t>
      </w:r>
    </w:p>
    <w:p>
      <w:r>
        <w:rPr>
          <w:b/>
        </w:rPr>
        <w:t>E. 3.1.1</w:t>
      </w:r>
    </w:p>
    <w:p>
      <w:r>
        <w:t>Im Bericht vom 5. Dezember 2017 – gestützt auf die ärztliche Ab- schlussuntersuchung vom 22. November 2017 – diagnostizierte der Arzt der D.________ Dr. med. E.________, Facharzt für Chirurgie, das Folgen- de (act. II 58.3/4):</w:t>
      </w:r>
    </w:p>
    <w:p>
      <w:r>
        <w:t>Urteil des Verwaltungsgerichts des Kantons Bern vom 3. März 2022, IV/21/64, Seite 8 - Verbleibende schmerzhafte Belastungs- und Bewegungsstörung des rech- ten und linken Kniegelenks bei - Status nach Osteosynthese einer distalen Femurfraktur mit Beteili- gung der Kondylen links und - Status nach Tibiakopffraktur, vorderer Kreuzbandruptur rechtes Kniegelenk, konservativ behandelt - Belastungsbedingte Schulterschmerzen bei Dauerbenutzung von Unter- armgehstützen - Posttraumatische Verarbeitungsstörung Zum Zumutbarkeitsprofil führte Dr. med. E.________ aus, die Beschwerde- führerin könne ausschliesslich Tätigkeiten im Sitzen vornehmen. Der Ar- beitsplatz müsse ebenerdig erreichbar sein. Das Treppengehen sollte auf ein Minimum reduziert werden. Am Arbeitsplatz müsse die Möglichkeit des kurzfristigen Aufstehens gegeben sein. Tätigkeiten im Sitzen mit Heben von Gegenständen über 5 kg Gewicht könnten nicht durchgeführt werden. Anheben von Gegenständen bis Brusthöhe sei möglich. Anheben von Ge- genständen über Brusthöhe sei überhaupt nicht möglich. Überkopfarbeiten könnten nicht ausgeführt werden. Arbeiten mit schlagenden oder vibrieren- den Maschinen könnten nicht durchgeführt werden. Zwangshaltungen der oberen Extremität müssten vermieden werden. Bei Einhaltung der genann- ten Ausschlusskriterien sei eine 60%ige zeitliche Anwesenheit gewährleis- tet. Bei ideal angepasstem Arbeitsplatz sei die Leistungsfähigkeit im Rah- men der Anwesenheit nicht eingeschränkt (act. II 58.3/6).</w:t>
      </w:r>
    </w:p>
    <w:p>
      <w:r>
        <w:rPr>
          <w:b/>
        </w:rPr>
        <w:t>E. 3.1.2</w:t>
      </w:r>
    </w:p>
    <w:p>
      <w:r>
        <w:t>Im MEDAS-Gutachten vom 26. Juni 2019 (act. II 115.1) diagnosti- zierten die Gutachter mit Auswirkung auf die Arbeitsfähigkeit das Folgende (act. II 115.1/11):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