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62 vom 28. Mai 2021</w:t>
      </w:r>
    </w:p>
    <w:p>
      <w:r>
        <w:t>BE Verwaltungsgericht, 2021-05-28, DE</w:t>
      </w:r>
    </w:p>
    <w:p>
      <w:r>
        <w:rPr>
          <w:b/>
        </w:rPr>
        <w:t xml:space="preserve">Quelle: </w:t>
      </w:r>
      <w:r>
        <w:t>https://mcp.opencaselaw.ch/entscheid/be_verwaltungsgericht_200_2021_62</w:t>
      </w:r>
    </w:p>
    <w:p>
      <w:r>
        <w:t>FR: BE_VERWALTUNGSGERICHT 200 2021 62 du 28 mai 2021</w:t>
      </w:r>
    </w:p>
    <w:p>
      <w:r>
        <w:t>IT: BE_VERWALTUNGSGERICHT 200 2021 62 del 28 maggio 2021</w:t>
      </w:r>
    </w:p>
    <w:p>
      <w:pPr>
        <w:pStyle w:val="Heading2"/>
      </w:pPr>
      <w:r>
        <w:t>Regeste</w:t>
      </w:r>
    </w:p>
    <w:p>
      <w:r>
        <w:t>Verfügung vom 11.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Dezember 2020 (act. II 113).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2.2 Nach Art. 28 Abs. 1 IVG haben jene Versicherten Anspruch auf eine Rente, die ihre Erwerbsfähigkeit oder die Fähigkeit, sich im Aufgaben- bereich zu betätigen, nicht durch zumutbare Eingliederungsmassnahmen wiederherstellen, erhalten oder verbessern können (lit. a) und die zusätz- lich während eines Jahres ohne wesentlichen Unterbruch durchschnittlich mindestens 40% arbeitsunfähig (Art. 6 ATSG) gewesen sind und nach Ab- lauf dieses Jahres zu mindestens 40% invalid (Art. 8 ATSG) sind (lit. b und c). 2.3 2.3.1 Ändert sich der Invaliditätsgrad einer Rentenbezügerin oder eines Rentenbezügers erheblich, so wird die Rente von Amtes wegen oder auf</w:t>
      </w:r>
    </w:p>
    <w:p>
      <w:r>
        <w:t>Urteil des Verwaltungsgerichts des Kantons Bern vom 28. Mai 2021, IV/21/62, Seite 5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 und 3 der Verordnung vom 17. Januar 1961 über die Invalidenversicherung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144 I 103 E. 2.1 S. 105, 141 V 9 E. 2.3 S. 10; SVR 2018 UV Nr. 22 S. 79 E. 2.2.1).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28. Mai 2021, IV/21/62, Seite 6 2.3.5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Verwaltung ist auf die Neuanmeldung vom November 2017 (act. II 27) eingetreten, weshalb die Eintretensfrage praxisgemäss nicht zu überprüfen ist (BGE 109 V 108 E. 2b S. 114). Massgebende Vergleichszeitpunkte bilden die Verfügung vom 12. März 2015 (act. II 26) – mit welcher ein Anspruch auf Leistungen der IV verneint worden war – und die nunmehr angefochtene Verfügung vom 11. Dezem- ber 2020 (act. II 113; vgl. E. 2.3.4 vorne). 3.2 Bei Erlass der Verfügung vom 12. März 2015 (act. II 26) stützte sich die Beschwerdegegnerin hauptsächlich auf die Angaben der behan- delnden Ärztin Dr. med. E.________, Fachärztin für Allgemeine Innere Me- dizin. Diese hielt im undatierten, bei der Beschwerdegegnerin am 24. September 2014 (act. II 16) eingegangenen Bericht als Diagnosen mit Auswirkung auf die Arbeitsfähigkeit im Wesentlichen eine (mittels Thyreoi- dektomie behandelte) Hyperthyreose, eine unklare linksseitige Symptoma- tik mit Muskelschmerzen in Arm und Bein, eine leichte Gangunsicherheit,</w:t>
      </w:r>
    </w:p>
    <w:p>
      <w:r>
        <w:t>Urteil des Verwaltungsgerichts des Kantons Bern vom 28. Mai 2021, IV/21/62, Seite 7 ein Halte- und Intentionstremor in der linken Hand sowie eine depressive Verstimmung fest (S. 1). Mit weiterem Bericht vom 9. Dezember 2014 (act. II 20) hielt Dr. med. E.________ fest, an der Diagnosestellung habe sich nichts geändert, jedoch habe sich der Gesundheitszustand gebessert (S. 1). 3.3 Bis zum Erlass der – zeitliche Grenze der gerichtlichen Prüfung bildenden (BGE 131 V 242 E. 2.1 S. 243) – angefochtenen Verfügung vom</w:t>
      </w:r>
    </w:p>
    <w:p>
      <w:r>
        <w:rPr>
          <w:b/>
        </w:rPr>
        <w:t>E. 6</w:t>
      </w:r>
    </w:p>
    <w:p>
      <w:r>
        <w:t>Oktober 2000 über den Allgemeinen Teil des Sozialversicherungsrechts (ATSG; SR 830.1) i.V.m. Art. 54 Abs. 1 lit. a des kantonalen Gesetzes vom</w:t>
      </w:r>
    </w:p>
    <w:p>
      <w:r>
        <w:rPr>
          <w:b/>
        </w:rPr>
        <w:t>E. 6.1</w:t>
      </w:r>
    </w:p>
    <w:p>
      <w:r>
        <w:t>Nach 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144 I 21 E. 2.1 S. 23, 142 V 290 E. 4 S. 293).</w:t>
      </w:r>
    </w:p>
    <w:p>
      <w:r>
        <w:rPr>
          <w:b/>
        </w:rPr>
        <w:t>E. 6.2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w:t>
      </w:r>
    </w:p>
    <w:p>
      <w:r>
        <w:t>Urteil des Verwaltungsgerichts des Kantons Bern vom 28. Mai 2021, IV/21/62, Seite 20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 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zu begrenzen ist (BGE 135 V 297 E. 5.2 S. 301, 134 V 322 E. 5.2 S. 327; SVR 2018 IV Nr. 46 S. 148 E. 3.3).</w:t>
      </w:r>
    </w:p>
    <w:p>
      <w:r>
        <w:rPr>
          <w:b/>
        </w:rPr>
        <w:t>E. 6.3</w:t>
      </w:r>
    </w:p>
    <w:p>
      <w:r>
        <w:t>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IVV). Die Berechnung des Invaliditätsgrads in Bezug auf die Erwerbstätigkeit richtet sich nach Art. 16 ATSG. Dabei sind Validen- und Invalideneinkommen auf der Grundlage einer hypothetischen</w:t>
      </w:r>
    </w:p>
    <w:p>
      <w:r>
        <w:t>Urteil des Verwaltungsgerichts des Kantons Bern vom 28. Mai 2021, IV/21/62, Seite 21 Vollzeittätigkeit zu ermitteln (BGE 145 V 370). Die prozentuale Erwerbseinbusse wird schliesslich anhand des Beschäftigungsgrads, den die Person hätte, wenn sie nicht invalid geworden wäre, gewichtet (Art.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 7. Mit Bezug auf den Aufgabenbereich Haushalt (vgl. E. 6.3 vorne) wurde im Abklärungsbericht Haushalt/Erwerb vom 10. August 2020 (act. II 103 S. 2 ff.) mittels Betätigungsvergleichs für die Zeit bis Februar 2020 eine Ein- schränkung von ungewichtet 1.2% bzw. gewichtet 0.84% und für die Zeit ab März 2020 eine solche von ungewichtet bzw. gewichtet 0% ermittelt (S. 20). Der Bericht vom 10. August 2020 (zu den Voraussetzungen an den Be- weiswert von Abklärungsberichten, vgl. BGE 140 V 543 E. 3.2.1 S. 547, 130 V 61 E. 6.2 S. 63; SVR 2018 IV Nr. 69 S. 224 E. 3.2) wurde vom spe- zialisierten Abklärungsdienst der Beschwerdegegnerin aufgrund einer Er- hebung am 30. Juli 2020 in der Wohnung der Beschwerdeführerin (act. II 103 S. 2) verfasst und erfolgte in Kenntnis der medizinischen Situation und namentlich des bidisziplinären MEDAS-Gutachtens vom 17. März 2020 (vgl. S. 3). Ferner stützt sich das Ergebnis auf die Angaben der Beschwer- deführerin zu den sozialen und erwerblichen Verhältnissen und zum Haus- halt. Der Abklärungsbericht enthält – entsprechend den per März 2020 veränderten Wohnverhältnissen (vgl. E. 5.4.2 vorne) – zwei Haushaltsbe- messungen, deren Umschreibung der Haushaltsaufgaben den Vorgaben der Rz. 3087 des Kreisschreibens über Invalidität und Hilflosigkeit in der Invalidenversicherung (KSIH) in der hier massgeblichen Fassung entspre- chen. Die Gewichtung der einzelnen Aufgabenbereiche hält sich sodann innerhalb der dort angegebenen Bandbreiten und wird weder beschwerde-</w:t>
      </w:r>
    </w:p>
    <w:p>
      <w:r>
        <w:t>Urteil des Verwaltungsgerichts des Kantons Bern vom 28. Mai 2021, IV/21/62, Seite 22 weise bestritten noch ist sie in Anbetracht der konkreten Umstände zu be- anstanden. Klare Fehleinschätzungen der Abklärungsfachperson sind nicht ersichtlich. Auf den Abklärungsbericht vom 10. August 2020 respektive die darin festgehaltenen Einschränkungen kann somit abgestellt werden. Ge- genteiliges macht denn auch die Beschwerdeführerin nicht geltend. 8. 8.1 Für den erwerblichen Bereich (vgl. E. 6.2 vorne) steht hinsichtlich des Valideneinkommens zunächst fest, dass die Beschwerdeführerin als Gesunde auch weiterhin als ... im Detailhandel tätig gewesen wäre, zumal keine Hinweise auf eine überwiegend wahrscheinlich anderweitige berufli- che Entwicklung bestehen (Entscheid des BGer vom 29. März 2021, 8C_745/2020, E. 6.1) und dergleichen auch nicht geltend gemacht wird. Im Weiteren ist zwar anzunehmen, dass die Beschwerdeführerin im Validitäts- fall bis und mit Februar 2020 auch ihre bisherige (im Juni 2019 krankheits- bedingt gekündigte [act. II 103 S. 6, Ziff. 3.2]) Anstellung bei der C.________ weiterhin und im selben Umfang (vgl. E. 5.4.1 vorne) beibehal- ten hätte (act. II 103 S. 6, Ziff. 3.4). Jedoch handelte es sich dabei nicht um ein fixes Pensum (S. 4 f., Ziff. 3.2), weshalb es sich rechtfertigt, für die Be- stimmung des ohne gesundheitliche Beeinträchtigung hypothetisch erziel- baren Einkommens auf die Zahlen der LSE abzustellen (vgl. E. 6.2.1 vorne). Dasselbe gilt für die Zeit ab März 2020 (vgl. E. 5.4.2 vorne), da an der angestammten Stelle keine Pensumerhöhung möglich gewesen wäre (S. 6, Ziff. 3.4). Entsprechend ist – mit der Beschwerdegegnerin (vgl. act. II 103 S. 10) – bei der Ermittlung des Valideneinkommens auf die LSE 2018, Tabelle TA1_tirage_skill_level, Ziff. 47 (Detailhandel), Frauen, abzustellen, wobei mangels entsprechender Ausbildung Kompetenzniveau 1 massgebend ist. 8.2 Indem die Beschwerdeführerin keine Erwerbstätigkeit mehr aus- übt, ist dem Invalideneinkommen mit Blick auf das gutachterlich formulierte Zumutbarkeitsprofil (vgl. E. 3.6.2 vorne) eine Hilfsarbeitertätigkeit gemäss LSE 2018, Tabelle TA1_tirage_skill_level, Wert TOTAL, Frauen, Kompe- tenzniveau 1, zugrunde zu legen.</w:t>
      </w:r>
    </w:p>
    <w:p>
      <w:r>
        <w:t>Urteil des Verwaltungsgerichts des Kantons Bern vom 28. Mai 2021, IV/21/62, Seite 23 9. 9.1 Die Beschwerdegegnerin hat in der angefochtenen Verfügung vom</w:t>
      </w:r>
    </w:p>
    <w:p>
      <w:r>
        <w:rPr>
          <w:b/>
        </w:rPr>
        <w:t>E. 11</w:t>
      </w:r>
    </w:p>
    <w:p>
      <w:r>
        <w:t>Dezember 2020 erweist sich demnach als rechtens und die Beschwer- de ist abzuweisen. 10. Mit der Abweisung der Beschwerde ist die Beschwerdeführerin als unterlie- gend zu betrachten. Damit wird sie kostenpflichtig (Art. 108 VRPG), wes- halb nachfolgend vorab das Gesuch um Erteilung des Rechts auf unentgeltliche Rechtspflege zu prüfen ist.</w:t>
      </w:r>
    </w:p>
    <w:p>
      <w:r>
        <w:t>Urteil des Verwaltungsgerichts des Kantons Bern vom 28. Mai 2021, IV/21/62, Seite 26 10.1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dokumentierten finanziellen Verhältnisse respektive ihrer Sozialhilfebedürftigkeit ausgewie- sen (Akten der Beschwerdeführerin [act. I] 3). Im Weiteren ist die Be- schwerde nicht als aussichtslos zu qualifizieren und die anwaltliche Verbeiständung ist geboten. Das Gesuch der Beschwerdeführerin ist somit gutzuheissen und es ist ihr Rechtsanwalt B.________ als amtlicher Anwalt beizuordnen. 10.2 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und der unterliegenden Beschwerdeführerin auferlegt. Aufgrund der ge- währten unentgeltlichen Rechtspflege (vgl. E. 10.1 hiervor) wird die Be- schwerdeführerin – unter Vorbehalt der Nachzahlungspflicht gemäss Art. 123 der Schweizerischen Zivilprozessordnung vom 19. Dezember 2008 (ZPO; SR 272) – vorläufig von der Zahlungspflicht befreit (Art. 113 VRPG). 10.3 Infolge Unterliegens hat die Beschwerdeführerin keinen Anspruch auf Parteientschädigung (Art. 1 Abs. 1 IVG i.V.m. Art. 61 lit. g ATSG [Um- kehrschluss] und Art. 108 Abs. 3 VRPG). Aufgrund der gewährten unent- geltlichen Rechtspflege unter Beiordnung von Rechtsanwalt B.________ als amtlicher Anwalt bleibt dessen amtliches Honorar festzulegen. 10.3.1 Gemäss Art. 42 des kantonalen Anwaltsgesetzes vom 28. März 2006 (KAG; BSG 168.11) bezahlt der Kanton den amtlich bestellten Anwäl-</w:t>
      </w:r>
    </w:p>
    <w:p>
      <w:r>
        <w:t>Urteil des Verwaltungsgerichts des Kantons Bern vom 28. Mai 2021, IV/21/62, Seite 27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10.3.2 Mit Kostennote vom 11. Mai 2021 macht Rechtsanwalt B.________ einen Aufwand von 11 Stunden geltend, was nicht zu bean- standen ist. Gestützt darauf ist der tarifmässige Parteikostenersatz auf total Fr. 3'048.55 festzusetzen (Honorar: Fr. 2'750.--; Auslagen: Fr. 80.60; MWST: Fr. 217.95 [7.7% auf Fr. 2'830.60]). Demnach ist Rechtsanwalt B.________ nach Eintritt der Rechtskraft dieses Urteils aus der Gerichts- kasse ein amtliches Honorar von Fr. 2‘200.-- (11 Stunden x Fr. 200.--) zu- züglich Auslagen von Fr. 80.60 und die MWST von 7.7% auf Fr. 2‘280.60, ausmachend Fr. 175.60, total somit eine Entschädigung von Fr. 2‘456.20, auszurichten. Vorbehalten bleibt die Nachzahlungspflicht der Beschwerde- führerin gegenüber dem Kanton Bern entsprechend den Voraussetzungen von Art. 123 ZPO. 10.4 Die obsiegende Beschwerdegegnerin hat als öffentlichrechtliche Anstalt des Kantons Bern keinen Anspruch auf eine Parteientschädigung (Art. 104 Abs. 3 VRPG; vgl. dazu auch BGE 128 V 124 E. 5b S. 133). Demnach entscheidet das Verwaltungsgericht: 1. Die Beschwerde wird abgewiesen. 2. Das Gesuch um unentgeltliche Rechtspflege und Beiordnung von Rechtsanwalt B.________ als amtlicher Anwalt wird gutgeheissen.</w:t>
      </w:r>
    </w:p>
    <w:p>
      <w:r>
        <w:t>Urteil des Verwaltungsgerichts des Kantons Bern vom 28. Mai 2021, IV/21/62, Seite 28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des amtlichen Anwalts wird in die- sem Verfahren auf Fr. 3'048.55 (inkl. Auslagen und MWST) festge- setzt. Davon wird Rechtsanwalt B.________ nach Eintritt der Rechtskraft dieses Urteils aus der Gerichtskasse eine auf Fr. 2‘456.20 festgesetzte Entschädigung (inkl. Auslagen und MWST) vergütet. Vor- behalten bleibt die Nachzahlungspflicht nach Art. 123 ZPO. 6. Zu eröffnen (R): - Rechtsanwalt B.________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