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428 vom 18. November 2021</w:t>
      </w:r>
    </w:p>
    <w:p>
      <w:r>
        <w:t>BE Verwaltungsgericht, 2021-11-18, DE</w:t>
      </w:r>
    </w:p>
    <w:p>
      <w:r>
        <w:rPr>
          <w:b/>
        </w:rPr>
        <w:t xml:space="preserve">Quelle: </w:t>
      </w:r>
      <w:r>
        <w:t>https://mcp.opencaselaw.ch/entscheid/be_verwaltungsgericht_200_2021_428</w:t>
      </w:r>
    </w:p>
    <w:p>
      <w:r>
        <w:t>FR: BE_VERWALTUNGSGERICHT 200 2021 428 du 18 novembre 2021</w:t>
      </w:r>
    </w:p>
    <w:p>
      <w:r>
        <w:t>IT: BE_VERWALTUNGSGERICHT 200 2021 428 del 18 novembre 2021</w:t>
      </w:r>
    </w:p>
    <w:p>
      <w:pPr>
        <w:pStyle w:val="Heading2"/>
      </w:pPr>
      <w:r>
        <w:t>Regeste</w:t>
      </w:r>
    </w:p>
    <w:p>
      <w:r>
        <w:t>Einspracheentscheid vom 17.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Mai 2021 (act. II 87). Streitig ist der Anspruch auf Ergänzungsleistungen und dabei allein die Frage, ob der Eigenmietwert und ein Vermögensverzehr anzurechnen sind (Beschwerde, S. 5 ff.). Daher hat sich die richterliche Beurteilung praxis- gemäss auf diesen Punkt zu beschränken, wogegen kein Anlass besteht, die übrigen unbestrittenen Berechnungspositionen in die Prüfung mit ein- zubeziehen (BGE 110 V 48 E. 4a S. 53; ZAK 1992 S. 487 E. 1b).</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Nov. 2021, EL/21/428, Seite 4 2. 2.1 Vorab rügt die Beschwerdeführerin eine Verletzung des rechtlichen Gehörs (Beschwerde, S. 3 ff. Ziff. 7 ff.). Sie bemängelt, der angefochtene Einspracheentscheid äussere sich weder zum gerügten Punkt der Rechts- beständigkeit der früheren Verfügung vom 20. November 2020 gegenüber der alsdann angefochtenen Verfügung vom 7. Januar 2021, noch zu der Rüge bezüglich der Anrechnung der fiktiven Einnahmen von Eigenmietwert und Vermögensertrag. Ebenso wenig sei die Frage beantwortet worden, wie die Beschwerdeführerin genügend finanzielle Mittel aufbringen solle, um ihre Lebenshaltungskosten zu bestreiten, wenn ihr aus der Liegen- schaft fiktive Einnahmen angerechnet würden. 2.2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2020 AHV Nr. 2 S. 5 E. 4, 2017 KV Nr. 6 S. 30 E. 5). 2.3 Die Rüge der Gehörsverletzung ist nicht zu hören, hat die Be- schwerdegegnerin im Einspracheentscheid doch deutlich dargelegt, wes- halb die Ergänzungsleistungen in der verfügten Höhe zu gewähren sind (act. II 87/2). Dass die Beschwerdegegnerin im Rahmen der Ergänzungs- leistungen jeweils mehrere Verfügungen kurz hintereinander erlassen kann respektive muss (vgl. Beschwerde, S. 4 Ziff. 8), musste nicht speziell er- wähnt werden, hat die Beschwerdeführerin davon doch schon profitiert (act.</w:t>
      </w:r>
    </w:p>
    <w:p>
      <w:r>
        <w:t>Urteil des Verwaltungsgerichts des Kantons Bern vom 18. Nov. 2021, EL/21/428, Seite 5 II 13, 16, 18), weshalb ihr bekannt war, dass ein solches Vorgehen (wegen der auf ein Jahr beschränkten Rechtsbeständigkeit von Verfügungen im Bereich der Ergänzungsleistungen [vgl. BGE 141 V 255 E. 1.3 S. 258, 128 V 39 E. 3b S. 41; SVR 2020 EL Nr. 2 S. 2 E. 4.1]) zulässig ist – die beiden Verfügungen betrafen denn auch die Jahre 2020 und 2021 (Beschwerde, S. 4 Ziff. 8 respektive act. II 82 f.). Wenn die Beschwerdeführerin explizit die Frage beantwortet haben will, wie sie "genügend finanzielle Mittel auf- bringen soll, … wenn ihr … aus der Liegenschaft fiktive Einnahmen ange- rechnet werden" (Beschwerde, S. 5 Ziff. 10), so muss ihr – anwaltlich vertreten – klar sein, dass sie diese Frage nicht den rechtsanwendenden und rechtsprechenden, sondern den rechtssetzenden Behörden zu stellen hat. 3. 3.1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Die Vergleichsrechnungen in der Verfügung vom 7. Januar 2021 (act. II 83/5 ff.) zeigen klar, dass das neue Recht für die Be- schwerdeführerin günstiger und damit anwendbar ist. 3.2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w:t>
      </w:r>
    </w:p>
    <w:p>
      <w:r>
        <w:t>Urteil des Verwaltungsgerichts des Kantons Bern vom 18. Nov. 2021, EL/21/428, Seite 6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3.3 Grundsätzlich sind alle wiederkehrenden Leistungen, die nicht unter Art. 11 Abs. 3 ELG fallen, vollumfänglich als Einnahmen anzurechnen, gleichgültig, ob es sich um Geld- oder um Naturalleistungen handelt (BGE 139 V 574 E. 3.3.3 S. 578). Als Einnahmen anzurechnen sind zwei Drittel die Erwerbseinkünfte in Geld oder Naturalien, die Einkünfte aus beweglichem oder unbeweglichem Ver- mögen sowie unter dem Titel Vermögensverzehr ein Fünfzehntel, bei Al- tersrentnerinnen und -rentnern ein Zehntel des Reinvermögens, soweit es bei Alleinstehenden Fr. 30'000.-- und bei Ehepaaren Fr. 50'000.-- übersteigt; hat die Bezügerin oder der Bezüger oder eine Person, die in die Berechnung der Ergänzungsleistungen eingeschlossen ist, Eigentum an einer Liegenschaft, die mindestens von einer dieser Personen bewohnt wird, so ist nur der Fr. 112'500.-- übersteigende Wert der Liegenschaft beim Vermögen zu berücksichtigen (Art. 11 Abs. 1 lit. a - c ELG). Das an- rechenbare Vermögen ist nach den Grundsätzen der Gesetzgebung über die direkte kantonale Steuer für die Bewertung des Vermögens im Wohn- sitzkanton zu bewerten (Art. 17a Abs. 1 ELV). Als Einnahme anzurechnen ist auch der Jahreswert einer Nutzniessung oder eines Wohnrechts oder der Jahresmietwert einer Liegenschaft, an der die Bezügerin oder der Bezüger oder eine andere Person, die in die Be- rechnung der Ergänzungsleistungen eingeschlossen ist, Eigentum hat und von mindestens einer dieser Personen bewohnt wird (Art. 11 Abs. 1 lit. b ELG). Für die Bemessung des Mietwertes der vom Eigentümer oder Nutz- niesser bewohnten Wohnung sowie des Einkommens aus Untermiete sind</w:t>
      </w:r>
    </w:p>
    <w:p>
      <w:r>
        <w:t>Urteil des Verwaltungsgerichts des Kantons Bern vom 18. Nov. 2021, EL/21/428, Seite 7 die Grundsätze der Gesetzgebung über die direkte kantonale Steuer im Wohnsitzkanton massgebend (Art. 12 Abs. 1 ELV). 4. 4.1 Wie bereits im Einspracheverfahren wird auch beschwerdeweise die Anrechnung des Eigenmietwerts und des Vermögensertrages bzw. -verzehrs als Einnahmen beanstandet. Es handle sich dabei um rein fiktive Einnahmen, welche im monatlichen Budget dann fehlten (Beschwerde, S. 6 Ziff. 14). Art. 11 Abs. 1 lit. b und c ELG sehen – auch im Rahmen des revidierten Rechts der Ergänzungsleistungen – de lege lata vor, dass sowohl der Ei- genmietwert selbstbewohnter Liegenschaften als auch der Vermögenswert respektive -verzehr selbstbewohnter Liegenschaften im Rahmen der Be- rechnung der Ergänzungsleistungen zu berücksichtigen sind, was die Ver- waltung denn auch zu Recht getan hat (act. II 83/5 f.; vgl. zur allfälligen Rechtslage de lege ferenda im Steuerrecht mit Implikationen für die Ergän- zungsleistungen: Parlamentarische Initiative "Systemwechsel bei der Wohneigentumsbesteuerung" der Kommission für Wirtschaft und Abgaben des Ständerates [17.400 s Pa.IV. WAK-SR; BBl 2021 1631; Medienmittei- lung vom 9. November 2021]). Im Zusammenhang mit der am 1. Januar 2021 in Kraft getretenen EL-Reform ist der entsprechenden Botschaft zur Änderung des Bundesgesetzes über Ergänzungsleistungen zur Alters-, Hinterlassenen und Invalidenversicherung (EL-Reform) vom 16. September 2016 zu Art. 11 Abs. 1 lit. b ELG zu entnehmen (BBl 2016 7536), der Miet- wert werde bereits heute – also unter altem Recht – vollumfänglich als Ein- nahme aus unbeweglichem Vermögen angerechnet. Aus Transparenz- gründen werde die Anrechnung des Mietwerts als Einnahme in Art. 11 Abs. 1 lit. b ELG aufgenommen; die Anpassung habe keine materiellen Auswir- kungen. Mit anderen Worten wurde die unter altem Recht geltende Rechts- praxis (vgl. BGE 138 V 17 E. 4.2.3 S. 22; SVR 2015 EL Nr. 4 S.11; Entscheide des Bundesgerichts vom 22. März 2018, 9C_593/2017, E. 6.1, 10. April 2017, 9C_239/2017, und 21. Juli 2015, 9C_330/2015, E. 2.1 und 2.2) nun explizit ins Gesetz aufgenommen. Zu Art. 11 Abs. 1 lit. c ELG</w:t>
      </w:r>
    </w:p>
    <w:p>
      <w:r>
        <w:t>Urteil des Verwaltungsgerichts des Kantons Bern vom 18. Nov. 2021, EL/21/428, Seite 8 wurde angeführt (BBl 2016 7537), der Freibetrag auf selbstbewohnten Lie- genschaften und der übrige Wortlaut (u.a. "Als Einnahmen werden ange- rechnet … bei Altersrentnerinnen und Altersrentnern ein Zehntel des Rein- vermögens …") blieben unverändert. Die tieferen Ergänzungsleistungen sind denn auch nicht Folge des neuen Rechts, sondern Folge der Neube- wertung der Liegenschaften der Beschwerdeführerin, was zu einem höhe- ren amtlichen Wert als früher geführt hat (Fr. 405'710.-- [Akten der Beschwerdeführerin {act. I} 5, S. 1 und 5] gegenüber Fr. 273'890.-- [act. II 82/7]), während der Eigenmietwert gesunken ist (Fr. 13'940.-- [act. I 5, S. 4 und 8] gegenüber Fr. 14'510.-- [act. II 82/6]). Die Höhe der angerechneten Beträge (act. II 83/5 f.) ist damit zu Recht nicht umstritten. 4.2 Nach dem Dargelegten ist der angefochtene Einspracheentscheid vom 17. Mai 2021 (act. II 87) nicht zu beanstanden, weshalb die offensicht- lich unbegründete Beschwerde abzuweisen ist. 5. 5.1 In Anwendung von Art. 1 Abs. 1 ELG i.V.m. Art. 61 fbis ATSG (Um- kehrschluss; vgl. auch BBl 2018 1639) sind keine Verfahrenskosten zu er- heben. 5.2 Bei diesem Verfahrensausgang hat die Beschwerdeführerin keinen Anspruch auf eine Parteientschädigung (Art. 1 Abs. 1 ELG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