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420 vom 25. Mai 2021</w:t>
      </w:r>
    </w:p>
    <w:p>
      <w:r>
        <w:t>BE Verwaltungsgericht, 2021-05-25, DE</w:t>
      </w:r>
    </w:p>
    <w:p>
      <w:r>
        <w:rPr>
          <w:b/>
        </w:rPr>
        <w:t xml:space="preserve">Quelle: </w:t>
      </w:r>
      <w:r>
        <w:t>https://mcp.opencaselaw.ch/entscheid/be_verwaltungsgericht_200_2021_420</w:t>
      </w:r>
    </w:p>
    <w:p>
      <w:r>
        <w:t>FR: BE_VERWALTUNGSGERICHT 200 2021 420 du 25 mai 2021</w:t>
      </w:r>
    </w:p>
    <w:p>
      <w:r>
        <w:t>IT: BE_VERWALTUNGSGERICHT 200 2021 420 del 25 maggio 2021</w:t>
      </w:r>
    </w:p>
    <w:p>
      <w:pPr>
        <w:pStyle w:val="Heading2"/>
      </w:pPr>
      <w:r>
        <w:t>Regeste</w:t>
      </w:r>
    </w:p>
    <w:p>
      <w:r>
        <w:t>Einspracheentscheid vom 25.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Mai 2021 (AB 26-30). Streitig und zu prüfen ist die Rückforderung von Arbeits- losenentschädigung für die Kontrollperiode Dezember im Betrag von Fr. 930.05.</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Juli 2021, ALV/21/420, Seite 4 2. 2.1 Unrechtmässig bezogene Leistungen sind zurückzuerstatten. Wer Leistungen in gutem Glauben empfangen hat, muss sie nicht zurückerstat- ten, wenn eine grosse Härte vorliegt (Art. 25 Abs. 1 ATSG). 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 dererwägung (wegen zweifelloser Unrichtigkeit und erheblicher Bedeutung der Berichtigung; Art. 53 Abs. 2 ATSG) oder die für die prozessuale Revisi- on (wegen vorbestandener neuer Tatsachen oder Beweismittel; Art. 53 Abs. 1 ATSG) bestehenden Voraussetzungen erfüllt sind (BGE 142 V 259 E. 3.2 S. 260, 130 V 318 E. 5.2 S. 320; SVR 2019 UV Nr. 3 S. 10 E. 3.1). 2.3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Das Institut der prozessualen Revision bezweckt die Verwirklichung des materi- ellen Rechts, indem eine Verfügung zurückgenommen werden soll, die auf von Anfang an fehlerhaften tatsächlichen Grundlagen beruht hat (BGE 115 V 308 E. 4a aa S. 313). Die prozessuale Revision kommt auch bei formlosen, rechtsbeständig gewordenen Leistungszusprechungen zur Anwendung (BGE 143 V 105 E. 2.1 S. 107). 2.4 Die prozessuale Revision ist gestützt auf Art. 55 Abs. 1 ATSG nur innerhalb der in Art. 67 Abs. 1 des Bundesgesetzes vom 20. Dezember 1968 über das Verwaltungsverfahren (VwVG; SR 172.021) enthaltenen Fristen zulässig. Nach Abs. 1 dieser Bestimmung ist eine relative 90-tägige</w:t>
      </w:r>
    </w:p>
    <w:p>
      <w:r>
        <w:t>Urteil des Verwaltungsgerichts des Kantons Bern vom 16. Juli 2021, ALV/21/420, Seite 5 Frist zu beachten, die mit der Entdeckung des Revisionsgrundes zu laufen beginnt. Zudem gilt eine absolute zehnjährige Frist, deren Lauf mit der Eröffnung des Entscheides einsetzt (BGE 143 V 105 E. 2.1 S. 107; SVR 2012 UV Nr. 17 S. 63 E. 3). 2.5 Der Rückforderungsanspruch erlischt drei Jahre, nachdem die Ver- sicherungseinrichtung davon Kenntnis erhalten hat, spätestens aber fünf Jahren seit der Auszahlung der einzelnen Leistung. Wird der Rückerstat- tungsanspruch aus einer strafbaren Handlung hergeleitet, für welche das Strafrecht eine längere Verjährungsfrist vorsieht, so ist diese Frist massge- bend (Art. 25 Abs. 2 ATSG). 3. 3.1 Aufgrund der Akten erstellt und zwischen den Parteien unbestritten ist, dass dem Beschwerdeführer für den ganzen Monat Dezember 2020 Arbeitslosenentschädigung ausgerichtet wurde (AB 99). Zudem wurden ihm infolge des Unfalls vom 20. Dezember 2020 mit damit einhergehender vollständiger Arbeitsunfähigkeit (vgl. AB 81-82) ab dem 23. Dezember 2020 Unfalltaggelder der Suva ausgerichtet (AB 72). Damit ist ausgewiesen, dass der Beschwerdeführer für den Zeitraum von 23. bis 31. Dezember 2020 gleichzeitig Taggelder sowohl der Arbeitslosen- als auch der Unfall- versicherung erhielt. Zunächst ist daher zu prüfen, welcher Sozialversiche- rungsträger dem verunfallten arbeitslosen Beschwerdeführer Taggelder und gegebenenfalls in welchem Umfang auszurichten hat. 3.2 3.2.1 Nach Art. 28 Abs. 1 AVIG haben Versicherte, die wegen Krankheit (Art. 3 ATSG), Unfall (Art. 4 ATSG) oder Schwangerschaft vorübergehend nicht oder nur vermindert arbeits- und vermittlungsfähig sind und deshalb die Kontrollvorschriften nicht erfüllen können, sofern sie die übrigen An- spruchsvoraussetzungen erfüllen, Anspruch auf das volle Taggeld. Dieser dauert längstens bis zum 30. Tag nach Beginn der ganzen oder teilweisen Arbeitsunfähigkeit und ist innerhalb der Rahmenfrist auf 44 Taggelder be- schränkt. Taggelder der Kranken- oder Unfallversicherung, die Erwerbser-</w:t>
      </w:r>
    </w:p>
    <w:p>
      <w:r>
        <w:t>Urteil des Verwaltungsgerichts des Kantons Bern vom 16. Juli 2021, ALV/21/420, Seite 6 satz darstellen, werden von der Arbeitslosenentschädigung abgezogen (Art. 28 Abs. 2 AVIG). Arbeitslose, die ihren Anspruch nach Abs. 1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Taggeld, wenn sie zu mindestens 75 % arbeitsfähig sind und auf das um 50 % gekürzte Taggeld, wenn sie zu mindestens 50 % arbeitsfähig sind (Art. 28 Abs. 4 AVIG). Art. 28 Abs. 1 AVIG weicht damit vom Grundprinzip der Arbeitslosenversicherung, wonach Leistungen nur bei Vermittlungsfähigkeit des Versicherten in Betracht kommen, ab und erfasst – im Unterschied zu Art. 15 Abs. 2 Satz 1 AVIG – Fälle bloss vorübergehend fehlender oder verminderter Arbeitsfähigkeit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(BGE 135 V 185 E. 6.1.2 S. 189). 3.2.2 Gemäss Art. 1a Abs. 1 lit. b des Bundesgesetzes vom 20. März 1981 über die Unfallversicherung (UVG; SR 832.20) sind Personen, welche die Voraussetzungen nach Art. 8 AVIG erfüllen oder Entschädigungen nach Art. 29 AVIG beziehen (arbeitslose Personen), obligatorisch nach UVG versichert. Arbeitslose Personen sind ausschliesslich bei der Suva versi- chert (Art. 66 Abs. 3bis UVG; MANZ/GROB, in: FRÉSARD-FELLAY/LEU- ZINGER/PÄRLI [Hrsg.], Basler Kommentar, Unfallversicherungsgesetz, 2019, Art. 1a N. 19; BORIS RUBIN, Aussurance-chômage et service public de l’emploi, 2019, S. 92 Rz. 443). Ist der Versicherte infolge des Unfalles voll oder teilweise arbeitsunfähig (Art. 6 ATSG), so hat er gestützt Art. 16 Abs. 1 UVG Anspruch auf ein Tag- geld. Nach Art. 16 Abs. 2 ATSG entsteht dieser Anspruch am dritten Tag</w:t>
      </w:r>
    </w:p>
    <w:p>
      <w:r>
        <w:t>Urteil des Verwaltungsgerichts des Kantons Bern vom 16. Juli 2021, ALV/21/420, Seite 7 nach dem Unfalltag. Er erlischt mit der Wiedererlangung der vollen Arbeits- fähigkeit, mit dem Beginn einer Rente oder mit dem Tod des Versicherten. 3.2.3 Bei einem Unfall einer arbeitslosen Person hat während kontrollier- ter Arbeitslosigkeit die Unfallversicherung folglich i.S.v. Art. 16 Abs. 2 UVG ab dem dritten Tag Leistungen zu erbringen (THOMAS NUSSBAUMER, Ar- beitslosenversicherung, in ULRICH MEYER [Hrsg.], Schweizerisches Bun- desverwaltungsrecht [SBVR], Band XIV, Soziale Sicherheit, 3. Aufl. 2016, S. 2394 N. 436), weshalb die Arbeitslosenkasse während einer unfallbe- dingten Arbeitsunfähigkeit nur während den ersten drei Kalendertagen (inkl. Unfalltag) zahlungspflichtig ist (BORIS RUBIN, Commentaire de la loi sur l’assurance-chômage, Rz. 32 zu Art. 28; Rz. C176 der AVIG-Praxis ALE des Staatssekretariats für Wirtschaft [SECO; abrufbar unter &lt;www.arbeit. swiss&gt;]; zur Verbindlichkeit von Verwaltungsweisungen für das Gericht vgl. BGE 146 V 224 E. 4.4.2 S. 228, 132 V 121 E. 4.4 S. 125). Diese Prio- rität der Leistungspflicht des Unfallversicherers wirkt sich zugunsten des Arbeitslosen aus, indem das Kontingent nach Art. 28 Abs. 1 AVIG nicht angetastet wird und später bei krankheitsbedingter Arbeitsunfähigkeit noch vorhanden ist (NUSSBAUMER, a.a.O., S. 2394 Rz. 436). 3.2.4 Gemäss Art. 25 Abs. 3 der Verordnung vom 20. Dezember 1982 über die Unfallversicherung (UVV; SR 832.202) erbringt die Unfallversiche- rung die ganze Leistung, wenn die Arbeitsunfähigkeit eines arbeitslosen Versicherten mehr als 50 % beträgt. Das Bundesgericht hat mit BGE 135 V 185 sodann entschieden, dass bei Ausrichtung ganzer Taggelder durch die Unfallversicherung aufgrund einer über 50%igen Arbeitsunfähigkeit gemäss Art. 25 Abs. 3 UVV angesichts der ausdrücklichen und spezifischen Koor- dinationsbestimmung in Art. 28 Abs. 4 AVIG unabhängig davon, ob die versicherte Person dauernd (Art. 15 Abs. 2 AVIG) oder bloss vorüberge- hend (Art. 28 Abs. 1 AVIG) nicht oder vermindert arbeitsfähig ist, kein An- spruch auf Taggelder der Arbeitslosenversicherung besteht (vgl. hierzu auch BARBARA KUPFER BUCHER, Rechtsprechung des Bundesgerichts zum AVIG, 5. Aufl. 2019, S. 191 f.; UELI KIESER, Die Koordination von Taggel- dern der Arbeitslosenversicherung mit Taggeldern anderer Sozialversiche- rungszweige in ARV 2012 S. 217 ff., S. 230; Entscheid des Bundesgerichts vom 13. Juni 2018, 8C_331/2018, E. 4.1.2).</w:t>
      </w:r>
    </w:p>
    <w:p>
      <w:r>
        <w:t>Urteil des Verwaltungsgerichts des Kantons Bern vom 16. Juli 2021, ALV/21/420, Seite 8 Art. 25 Abs. 3 UVV bildet das Gegenstück zu Art. 28 Abs. 4 AVIG. Mit die- ser Regelung wird die Koordination zwischen der Unfall- und der Arbeitslo- senversicherung in der Weise hergestellt, dass die Leistungspflicht der ein- zelnen Systeme aufeinander abgestimmt wird. Die Koordinationsregel von Art. 28 Abs. 4 AVIG gilt denn auch unabhängig davon, ob vorgängig Art. 28 Abs. 1 AVIG zur Anwendung gelangt ist und ob die Arbeitsunfähigkeit vor oder erst nach Eintritt der Arbeitslosigkeit eingetreten ist (BGE 135 V 185 E. 6.2 S. 190). 3.2.5 Wie die Beschwerdegegnerin in der Beschwerdeantwort (S. 2) zutreffend ausführte, war sie infolge des am 20. Dezember 2020 erlittenen Unfalls lediglich noch drei darauffolgende Tage und damit bis und mit 22. Dezember 2020 leistungspflichtig. Ab dem dritten Tag nach dem Unfall, d.h. ab 23. Dezember 2020, hatte (allein) die Suva als gesetzliche Unfallversicherung aufgrund ihrer prioritären Leistungspflicht (NUSSBAUMER, a.a.O., S. 2394 Rz. 436) die Leistungen für den verunfallten Beschwerdeführer zu erbringen (Art. 25 Abs. 3 UVV; vgl. E. 3.2 hiervor) und denn auch erbracht (AB 71). Entgegen der Auffassung des Beschwerdeführers (Beschwerde S. 3 Ziff. 2 lit. B) gelangt vorliegend Art. 28 Abs. 2 AVIG, der eine Überentschädigung durch Anrechnung namentlich von Taggeldern der Unfallversicherung verhindern soll (NUSSBAUMER, a.a.O., S. 2395 N. 437), nicht zur Anwendung. Denn die Suva erbrachte gestützt auf Art. 25 Abs. 3 UVV für die Zeit ab 23. Dezember 2020 ganze Taggelder basierend auf einer 50 % übersteigenden Arbeitsunfähigkeit (effektiv ging sie von einer 100%igen Arbeitsunfähigkeit aus; vgl. AB 71). Damit besteht aufgrund der ausdrücklichen und spezifischen Koordinationsbestimmungen von Art. 28 Abs. 4 AVIG und Art. 25 Abs. 3 UVV für den vorliegend zu beurteilenden Zeitraum (23. bis 31. Dezember 2020) kein Anspruch auf Arbeitslosengelder, weshalb Taggelder der Unfallversicherung von vornherein nicht i.S.v. Art. 28 Abs. 2 AVIG an diese angerechnet werden können (vgl. E. 3.2.4 hiervor). Folglich hat die Beschwerdegegnerin zu Recht mit Korrekturabrechnung vom 23. Februar 2021 (AB 64) die Leistung von 23 Taggeldern (à netto Fr. 132.85 [Fr. 3‘055.95 / 23 Tage {vgl. AB 99}]), ausmachend netto</w:t>
      </w:r>
    </w:p>
    <w:p>
      <w:r>
        <w:t>Urteil des Verwaltungsgerichts des Kantons Bern vom 16. Juli 2021, ALV/21/420, Seite 9 Fr. 3‘055.95 (AB 99), auf 16 Taggelder (1. bis 22. Dezember 2020) und damit auf netto Fr. 2‘125.90 (16 Tage x Fr. 132.85 [vgl. AB 99]) reduziert und den diesen übersteigenden Betrag von Fr. 930.05 (Fr. 3‘055.95 [AB 99] – Fr. 2‘125.90) vom Beschwerdeführer zurückgefordert. Die vom Beschwerdeführer vorgenommene Berechnung des Rückforderungsbetrags, wonach er lediglich Fr. 75.10 zurückzuerstatten habe, ist nicht nachvollziehbar (Beschwerde S. 4 f. Ziff. 2 lit. C). Überdies führte dieses Ergebnis doch offenkundig dazu, dass die Taggeldhöhe der Arbeitslosenversicherung, die die Überentschädigungsgrenze im Verhältnis Arbeitslosen- und Unfallversicherung bildet (NUSSBAUMER, a.a.O., S. 2267 N. 8), klar überschritten würde und er infolge des Unfalls für den Zeitraum vom 23. bis 31. Dezember 2020 finanziell wesentlich besser gestellt wäre. Unbeachtlich ist vorliegend, dass die Taggeldleistungen der Unfallversicherungen niedriger ausfielen als diejenigen der Arbeitslosenversicherung (vgl. Beschwerde S. 4 Ziff. 2 lit. B). Denn wie bereits dargelegt wurde, bestand seitens der Beschwerdegegnerin ab 23. Dezember 2020 keine Leistungspflicht mehr. Der durch die Beschwerdegegnerin angeordnete Rückerstattungsbetrag in der Höhe von Fr. 930.05 ist mithin nicht zu beanstanden. 3.3 Vom Unfall bzw. den durch die Suva bezahlten Unfalltaggeldern erhielt die Beschwerdegegnerin erst mit Unfallmeldung des Beschwerdeführers vom 30. Januar 2021 (AB 76) bzw. Schreiben der Suva vom 5. Februar 2021 (AB 72) Kenntnis. Damit lagen neue Tatsachen bzw. Beweismittel i.S.v. Art. 53 Abs. 1 ATSG vor, womit ein Rückkommenstitel in Form der prozessualen Revision gegeben war, welcher der Beschwerdegegnerin erlaubte, auf die formlos zugesprochene Leistung der Arbeitslosentaggelder für den Monat Dezember 2020 zurückzukommen (vgl. E. 2.3 hiervor). Die 90-tägige Frist, die mit der Entdeckung des Revisionsgrundes zu laufen begann (vgl. E. 2.4 hiervor), wurde mit Erlass der Rückforderungsverfügung vom 22. Februar 2021 (AB 67-69) offenkundig gewahrt, ebenso wie die Rückforderungsfristen gemäss Art. 25 Abs. 2 ATSG (vgl. E. 2.5 hiervor). Soweit der Beschwerdeführer schliesslich geltend macht, er habe die Taggeldleistungen in gutem Glauben empfangen (Beschwerde S. 5 Ziff. 2</w:t>
      </w:r>
    </w:p>
    <w:p>
      <w:r>
        <w:t>Urteil des Verwaltungsgerichts des Kantons Bern vom 16. Juli 2021, ALV/21/420, Seite 10 lit. C), ist darauf hinzuweisen, dass die Voraussetzung des guten Glaubens im Rahmen seines von der Beschwerdegegnerin weiterzuleitenden Erlassgesuches (vgl. Einspracheentscheid vom 25. Mai 2021 [AB 26-30]) relevant und zu prüfen sein wird, indes im vorliegenden Verfahren unbeachtlich ist. 4. Zusammenfassend ist der angefochtene Einspracheentscheid vom 25. Mai 2021 (AB 26-30) weder in grundsätzlicher noch in masslicher Hinsicht zu beanstanden und die dagegen erhobene Beschwerde abzuweisen. 5. 5.1 In Anwendung von Art. 1 Abs. 1 AVIG i.V.m. Art. 61 fbis ATSG (Um- kehrschluss; vgl. auch BBl 2018 1639) sind keine Verfahrenskosten zu er- heben. 5.2 Der unterliegende Beschwerdeführer hat keinen Anspruch auf eine Parteientschädigung (Umkehrschluss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