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221 vom 22. Juli 2021</w:t>
      </w:r>
    </w:p>
    <w:p>
      <w:r>
        <w:t>BE Verwaltungsgericht, 2021-07-22, DE</w:t>
      </w:r>
    </w:p>
    <w:p>
      <w:r>
        <w:rPr>
          <w:b/>
        </w:rPr>
        <w:t xml:space="preserve">Quelle: </w:t>
      </w:r>
      <w:r>
        <w:t>https://mcp.opencaselaw.ch/entscheid/be_verwaltungsgericht_200_2021_221</w:t>
      </w:r>
    </w:p>
    <w:p>
      <w:r>
        <w:t>FR: BE_VERWALTUNGSGERICHT 200 2021 221 du 22 juillet 2021</w:t>
      </w:r>
    </w:p>
    <w:p>
      <w:r>
        <w:t>IT: BE_VERWALTUNGSGERICHT 200 2021 221 del 22 luglio 2021</w:t>
      </w:r>
    </w:p>
    <w:p>
      <w:pPr>
        <w:pStyle w:val="Heading2"/>
      </w:pPr>
      <w:r>
        <w:t>Regeste</w:t>
      </w:r>
    </w:p>
    <w:p>
      <w:r>
        <w:t>Einspracheentscheid vom 16. Februar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16. Februar 2021 (act. II K28). Streitig und zu prüfen ist der Anspruch auf eine UV- Rente. Hinsichtlich der mit Verfügung vom 21. Januar 2021 (act. II K21) zugesprochenen Integritätsentschädigung von Fr. 44'460.-- (30 % der ge- setzlichen Maximalentschädigung von Fr. 148'200.-- zum Zeitpunkt des Unfalls) blieb der Einspracheentscheid demgegenüber unangefochten,</w:t>
      </w:r>
    </w:p>
    <w:p>
      <w:r>
        <w:t>Urteil des Verwaltungsgerichts des Kantons Bern vom 22. Juli 2021, UV/21/221, Seite 4 weshalb er diesbezüglich in Teilrechtskraft erwachsen ist (vgl. Entscheid des Bundesgerichts [BGer] vom 4. Juni 2018, 8C_172/2018, E. 2.1).</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Die Zusprechung von Leistungen der obligatorischen Unfallversi- cherung setzt grundsätzlich das Vorliegen eines Berufsunfalles, eines Nichtberufsunfalles oder einer Berufskrankheit voraus (Art. 6 Abs. 1 des Bundesgesetzes vom 20. März 1981 über die Unfallversicherung [UVG; SR 832.20]). Der Anspruch auf Leistungen der obligatorischen Unfallversiche- rung setzt nebst anderem einen natürlichen und adäquaten Kausalzusam- menhang zwischen dem Unfall und dem eingetretenen Schaden voraus (BGE 129 V 177 E. 3.1 und 3.2 S. 181; SVR 2018 UV Nr. 3 S. 9 E. 3.1, 2012 UV Nr. 2 S. 6 E. 3.1). 2.2 Der Unfallversicherer hat den Fall unter Einstellung von Heilbehand- lung und Taggeld sowie Prüfung des Anspruchs auf Invalidenrente und Integritätsentschädigung abzuschliessen, wenn von der Fortsetzung der ärztlichen Behandlung keine namhafte Besserung des Gesundheitszustan- des mehr erwartet werden kann und allfällige Eingliederungsmassnahmen der Invalidenversicherung abgeschlossen sind (Art. 19 Abs. 1 UVG; BGE 143 V 148 E. 3.1.1 S. 151, 137 V 199 E. 2.1 S. 201). 2.3 Ist die versicherte Person infolge des Unfalles zu mindestens 10 % invalid (Art. 8 ATSG), so hat sie Anspruch auf eine Invalidenrente, sofern sich der Unfall vor Erreichen des ordentlichen Rentenalters ereignet hat (Art. 18 Abs. 1 UVG). Der Bundesrat regelt die Bemessung des Invali- ditätsgrades in Sonderfällen. Er kann dabei auch von Art. 16 ATSG abwei- chen (Art. 18 Abs. 2 UVG).</w:t>
      </w:r>
    </w:p>
    <w:p>
      <w:r>
        <w:t>Urteil des Verwaltungsgerichts des Kantons Bern vom 22. Juli 2021, UV/21/221, Seite 5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2.5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 3.1 Zum Sachverhalt ist den Akten das Folgende zu entnehmen: 3.1.1 Mit Schadenmeldung UVG hielt die Arbeitgeberin zum Unfallablauf fest, am 13. Februar 2020 habe der Beschwerdeführer mit dem Messer in der Hand vom Kistenband eine Kiste nehmen wollen, welche geklemmt habe, wodurch er abgerutscht sei und sich mit dem Messer ins rechte Auge gestochen habe (act. II K1). 3.1.2 Gemäss Bericht des Spitals G.________ vom 14. Februar 2020 liege eine dislozierte, extraartikuläre, nach palmar angulierte, subkapitale Fraktur des OS metacarpale V rechts vor (act. II M1).</w:t>
      </w:r>
    </w:p>
    <w:p>
      <w:r>
        <w:t>Urteil des Verwaltungsgerichts des Kantons Bern vom 22. Juli 2021, UV/21/221, Seite 6 Im Bericht vom 20. Februar 2020 diagnostizierten die Ärzte des Spitals G.________ am rechten Auge ein Bulbuseröffnendes Trauma sowie eine Lazeration am Lid vom 13. Februar 2020. Am linken Auge bestehe eine funktionelle Monokelsituation (act. II M2). Am 7. Mai 2020 hielten die Ärzte des Spitals G.________ fest, die Sehkraft am rechten Auge liege aktuell bei Lichtperzeption bis Handbewegungs- wahrnehmung. Eine weitere bedeutende Verbesserung sei unwahrschein- lich (act. II M5/1 Ziff. 1). Im Bericht von Oktober 2020 zuhanden der IVB hielten die Ärzte des Spi- tals G.________ fest, das rechte Auge sei blind, eine Visusverbesserung sei dort nicht mehr zu erwarten (act. III 28/3 Ziff. 2.2). Zur Arbeitsfähigkeit führten sie aus, eine berufliche Tätigkeit, die das Stereosehen sowie die Tiefenwahrnehmung benötige, sei nicht geeignet (act. III 28/4 Ziff. 2.7). In einer adaptierten Tätigkeit (ohne relevante Verletzungsgefahr) bestehe eine Arbeitsfähigkeit von 100 % (act. III 28/6 Ziff. 4.1 und 4.2). 3.2 Vorab ist unbestritten und aufgrund der Akten erstellt, dass das Er- eignis vom 13. Februar 2020 (act. II K1) den Unfallbegriff erfüllt und die Erblindung des rechten Auges (act. II M2/2, M4, M7/2; act. III 28/3 Ziff. 2.2) sowie die dadurch bedingten Funktionseinschränkungen in einem natürli- chen und adäquaten Kausalzusammenhang zum Unfall stehen (vgl. E. 2.1 hiervor). Seit Mai 2020 steht fest, dass eine weitere bedeutende Verbesse- rung der Sehkraft am rechten Auge unwahrscheinlich (act. II M5/1 Ziff. 1) und von weiteren medizinischen Massnahmen auch keine namhafte Besse- rung des unfallbedingten Gesundheitsschadens mehr zu erwarten ist. Zu- dem wurden durch die Invalidenversicherung Eingliederungsmassnahmen durchgeführt (vgl. act. III 37) und am 6. Januar 2021 abgeschlossen (act. III 38). Damit waren die Voraussetzungen für den Fallabschluss im Zeitpunkt der Rentenprüfung (Verfügung vom 21. Januar 2021 [act. II K22]) gegeben (vgl. E. 2.2 hiervor), zumal sich aufgrund der Akten keine Anhaltspunkte ergeben und nicht geltend gemacht wird, dass die beim Unfall zusätzlich erlittene Fraktur des Mittelhandknochens rechts damals nicht folgenlos ausgeheilt war.</w:t>
      </w:r>
    </w:p>
    <w:p>
      <w:r>
        <w:t>Urteil des Verwaltungsgerichts des Kantons Bern vom 22. Juli 2021, UV/21/221, Seite 7 Gestützt auf die medizinischen Berichte (E. 3.1.2 hiervor), welche die Voraussetzungen der Rechtsprechung an medizinische Berichte erfüllen (E. 2.5 hiervor), steht zur Arbeits- und Leistungsfähigkeit sowie zum Zu- mutbarkeitsprofil fest, dass die bisherige Tätigkeit (am …, körperlich streng und repetitiv mit Verletzungsgefahr aufgrund des … beim …) aufgrund des totalen Visusverlustes am rechten Auge nicht mehr ausgeübt werden kann. Hingegen ist eine Tätigkeit, welche keine Tiefenwahrnehmung und Stereo- sehen notwendig macht, zu 100 % zumutbar (act. III 28/4 Ziff. 2.7, 28/5 Ziff. 3.3, 28/6 Ziff. 4.1 und 4.2; vgl. auch act. II K18; act. III 37/3). Gestützt auf diese zu Recht unbestrittene Einschätzung der Fachärzte des Spitals G.________ (vgl. Beschwerde S. 4 f.) ist nachfolgend der Einkommensver- gleich vorzunehmen. 4. 4.1 Für die Bemessung des Valideneinkommens ist in der Unfallversi- cherung nach jenem hypothetischen Verdienst zu fragen, welchen die ver- sicherte Person ohne die unfallbedingte Schädigung wahrscheinlich erzie- len würde. Dieser kann sich zwar mit dem mutmasslichen Verdienst als gesunde Person decken, aber nur dann, wenn keine weiteren, nicht unfall- bedingten, leistungsschmälernden Beeinträchtigungen vorhanden sind (SVR 2018 UV Nr. 33 S. 115 E. 2.1). 4.2 Hat die versicherte Person nach Eintritt des Gesundheitsschadens keine oder jedenfalls keine ihr an sich zumutbare neue Erwerbstätigkeit aufgenommen, so können nach der Rechtsprechung entweder Tabellen- löhne gemäss den vom Bundesamt für Statistik periodisch herausgegebe- nen Lohnstrukturerhebungen (LSE) herangezogen werden (BGE 143 V 295 E. 2.2 S. 297; SVR 2019 IV Nr. 28 S. 88 E. 5.1.3). Wird auf Tabellenlöhne abgestellt, sind grundsätzlich immer die aktuellsten statistischen Daten zu verwenden (BGE 143 V 295 E. 2.3 S. 297).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w:t>
      </w:r>
    </w:p>
    <w:p>
      <w:r>
        <w:t>Urteil des Verwaltungsgerichts des Kantons Bern vom 22. Juli 2021, UV/21/221, Seite 8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 ten Einzelfalles ab (leidensbedingte Einschränkung, Alter, Dienstjahre, Na- tionalität/Aufenthaltskategorie und Beschäftigungsgrad). Der Einfluss sämt- licher Merkmale auf das Invalideneinkommen ist nach pflichtgemässem Ermessen gesamthaft zu schätzen, wobei der Abzug auf insgesamt höchs- tens 25 % zu begrenzen ist (BGE 135 V 297 E. 5.2 S. 301, 134 V 322 E. 5.2 S. 327; SVR 2018 IV Nr. 46 S. 148 E. 3.3). Zu beachten ist, dass allfällige bereits in der Beurteilung der medizinischen Arbeitsfähigkeit ent- haltene gesundheitliche Einschränkungen nicht zusätzlich in die Bemes- sung des leidensbedingten Abzugs einfliessen und so zu einer doppelten Anrechnung desselben Gesichtspunkts führen dürfen (BGE 146 V 16 E. 4.1 S. 20). 4.3 Es ist – wie oben erwähnt – nicht zu beanstanden, dass die Be- schwerdegegnerin den Fall abschloss und nach einer Übergangsfrist per 31. März 2021 die Taggeldleistungen einstellte mit gleichzeitiger Prüfung des Anspruches auf eine Invalidenrente (vgl. BGE 144 V 354 E. 4.1 S. 357; zur Integritätsentschädigung vgl. E. 1.2 hiervor). Massgeblicher Zeitpunkt für den potentiellen Rentenbeginn ist damit der 1. April 2021 (act. II K22). 4.4 Das Valideneinkommen, festgesetzt auf Fr. 65'000.-- (Fr. 5'000.-- x 13), ermittelte die Beschwerdegegnerin gestützt auf die Angaben der Ar- beitgeberin (act. II K1, K28/2; act. III 14/3 Ziff. 2.9), was vom Beschwerde- führer nicht beanstandet wird und zu keinen Bemerkungen Anlass bietet. 4.5 Beim Invalideneinkommen ist der Beschwerdeführer der Ansicht, es sei das Einkommen massgebend, das er bei der bisherigen Arbeitgeberin erziele, wobei die Arbeitsstelle in hohem Masse angepasst sei (Beschwer- de S. 4 f. Ziff. 5). Dem kann nicht gefolgt werden. Wie dem vom Beschwerdeführer erwähn- ten (Beschwerde S. 4 Ziff. 5) Bericht Job-Coaching vom 4. Januar 2021 entnommen werden kann, handelt es sich bei der Tätigkeit für die bisherige</w:t>
      </w:r>
    </w:p>
    <w:p>
      <w:r>
        <w:t>Urteil des Verwaltungsgerichts des Kantons Bern vom 22. Juli 2021, UV/21/221, Seite 9 Arbeitgeberin – auch wenn der Beschwerdeführer nur für kurze Zeit (ca. 2 ½ Stunden morgens) beim … und danach fürs … eingesetzt wird (act. III 37/4) – nicht um eine den Einschränkungen (optimal) adaptierte Tätigkeit. Denn diese kann der Beschwerdeführer zwar weiterhin vollschichtig (43 Stunden pro Woche) ausüben (act. III 37/5 Ziff. 3), indes erreicht er eine Leistung von lediglich 60 % act. III 37/7 Ziff. 5), weswegen die Arbeitgebe- rin von einem der Leistung entsprechenden bzw. gekürzten Bruttolohn von Fr. 3'000.-- ausging (60 % von Fr. 5'000.--, vgl. Protokolleintrag vom 4. Ja- nuar 2021 [IV-Akten] S. 7; vgl. auch Zwischenbericht H.________ AG vom 22. Dezember 2020 [act. II K14]). Weil der Beschwerdeführer eine ange- passte Tätigkeit zu 100 % bei vollem Rendement ausüben (vgl. E. 3.2 hier- vor) und damit ein höheres Einkommen erzielen kann (vgl. nachfolgend), schöpft er seine Restarbeitsfähigkeit bei der bisherigen Arbeitgeberin nicht optimal aus. Es ist deshalb korrekt, dass die Beschwerdegegnerin zur Festsetzung des Invalideneinkommens auf die LSE abstellte. Die Beschwerdegegnerin zog zu Recht die LSE 2018 heran. Da dem Be- schwerdeführer eine Vielzahl von adaptierten Tätigkeiten zumutbar sind, ist praxisgemäss bei der Bestimmung des tabellarischen Referenzlohnes vom Durchschnittslohn im gesamten privaten Sektor gemäss Zeile „Total“ der LSE-Tabelle TA1, Kompetenzniveau 1, Männer, auszugehen (vgl. Ent- scheid des BGer vom 29. April 2020, 8C_134/2020, E. 4.2), hier von Fr. 5’417.--. Angepasst an die betriebsübliche wöchentliche Arbeitszeit von 41.7 Stunden pro Woche (entgegen dem Vorgehen im angefochtenen Ein- spracheentscheid [act. II K28/2]), aufgerechnet auf ein Jahr und indexiert auf das Jahr 2020 (Nominallohnindex, Männer, 2016-2020, Total, 2018: 101.5; 2020: 103.2 [für das Jahr 2021 {E. 4.3} liegen keine Angaben vor]) ergibt dies Fr. 68'901.70 (Fr. 5’417.-- / 40 x 41,7 x 12 / 101.5 x 103.2 = Fr. 68'901.68). Umstritten ist ferner, ob ein Abzug vom Tabellenlohn vorzunehmen ist. Die Beschwerdegegnerin berücksichtigte im angefochtenen Einspracheent- scheid vom 16. Februar 2021 einen Abzug vom Tabellenlohn von 10 % (act. II K28/2). In der Beschwerdeantwort geht sie nunmehr davon aus, dass kein Leidensabzug vorzunehmen sei und begründet dies mit Hinweis auf die Rechtsprechung (S. 6 f. Ziff. 25-29). Der Beschwerdeführer macht</w:t>
      </w:r>
    </w:p>
    <w:p>
      <w:r>
        <w:t>Urteil des Verwaltungsgerichts des Kantons Bern vom 22. Juli 2021, UV/21/221, Seite 10 demgegenüber geltend, es sei ein Abzug vom Tabellenlohn von 15 % zu gewähren mit der Begründung, er sei fremdsprachig, lebe noch nicht 10 Jahre in der Schweiz, habe immer in der … gearbeitet und müsste einen Branchenwechsel vollziehen (Beschwerde S. 5 Ziff. 6). Die IVB hat einen Abzug vom Tabellenlohn von 15 % vorgenommen (act. III 54/1). Da die Invaliditätsschätzung der Invalidenversicherung gegenüber dem Unfallversicherer jedoch keine Bindungswirkung entfaltet (BGE 131 V 362; BGer vom 18. September 2019, 8C_224/2019, E. 4.3), kommt dem von der IVB gewährten Abzug von 15 % (act. III 39, 54) im vorliegenden Verfahren keine präjudizierende Wirkung zu. Anders als der Beschwerdeführer annimmt, rechtfertigen die geltend ge- machten fehlenden Sprachkenntnisse bei einer Tätigkeit im Kompetenzni- veau 1 in keiner Weise einen Abzug (statt vieler: Entscheid des BGer vom 10. September 2019, 8C_314/2019, E. 6.2), zumal einfache und repetitive Tätigkeiten weder gute Sprachkenntnisse noch ein besonderes Bildungsni- veau erfordern (Entscheid des BGer vom 30. Oktober 2017, 9C_418/2017, E. 4.5.2). Weiter steht der im angefochtenen Einspracheentscheid gewährte Abzug von 10 % mit der bundesgerichtlichen Praxis zur (tatsächlichen oder fakti- schen) Einäugigkeit mit entsprechend eingeschränktem Zumutbarkeitsprofil (insbesondere Ausschluss von Arbeiten, welche besondere Anforderungen an das Stereosehen stellen oder mit der Gefahr einer Verletzung des noch gesunden anderen Auges verbunden sind) im Einklang (Entscheid des BGer vom 26. Februar 2010, 8C_683/2009, E. 5.2; Entscheid des Eid- genössischen Versicherungsgerichts [EVG; heute BGer] vom 25. Septem- ber 2001, U 122/01, E. 2c; restriktiver jedoch Entscheid des BGer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15</w:t>
      </w:r>
    </w:p>
    <w:p>
      <w:r>
        <w:t>März 2013, 8C_945/2012, E. 4, wonach eine Monokelsituation – nach Abschluss der Angewöhnungszeit – für sich alleine keinen Abzug vom Ta- bellenlohn zu rechtfertigen vermöge), sodass insoweit kein triftiger Grund für eine abweichende Ermessensausübung vorliegt. Schliesslich vermag der Verweis auf das Gutachten „Nutzung Tabellenme- dianlöhne LSE zur Bestimmung der Vergleichslöhne bei der IV- Rentenbemessung“ vom 8. Januar 2021 des Büros für arbeits- und sozial-</w:t>
      </w:r>
    </w:p>
    <w:p>
      <w:r>
        <w:t>Urteil des Verwaltungsgerichts des Kantons Bern vom 22. Juli 2021, UV/21/221, Seite 11 politische Studien BASS AG (BASS [abrufbar unter &lt;www.wesym.ch&gt;, Ru- brik: Downloads]) und das Rechtsgutachten „Grundprobleme der Invali- ditätsbemessung in der Invalidenversicherung“ vom 22. Januar 2021 von GÄCHTER/EGLI/MEIER/FILIPO (Schlussfolgerungen vom 27. Januar 2021 abrufbar unter &lt;www.wesym.ch&gt;, a.a.O.) keinen höheren Tabellenlohnab- zug zu begründen (Beschwerde S. 6 Ziff. 8). Die Autoren des BASS- Gutachtens und des Rechtsgutachtens kommen gestützt auf empirische Erhebungen im Wesentlichen zum Schluss, dass der Medianlohn von Er- werbstätigen mit starken gesundheitlichen Einschränkungen – unabhängig davon, ob sie eine IV-Rente beziehen oder nicht – signifikant tiefer ist als jener von voll leistungsfähigen Erwerbstätigen, wobei der weitaus grösste Anteil der Lohnunterschiede nicht auf lohnrelevante Faktoren wie bspw. Geschlecht, Alter, Kompetenzniveau oder Brancheneffekte zurückzuführen sei. Der Faktor „starke gesundheitliche Einschränkungen“ wird dabei defi- niert als (sehr) schlechter allgemeiner Gesundheitszustand (IZ40/4 bzw. IZ40/5) oder (kumulativ) eine länger andauernde Krankheit bzw. gesund- heitliche Probleme (IZ41/1) sowie mindestens sechs Monate dauernde starke Einschränkung des täglichen Lebens wegen gesundheitlicher Pro- bleme (IZ42/1; vgl. BASS-Gutachten S. 17 Fn. 4 bzw. Schlussfolgerung Rechtsgutachten S. 38 Rz. 109; vgl. auch BFS, Schweizerische Arbeits- kräfteerhebung [SAKE], Variablenliste 2019, Variablenliste und Struktur des SAKE-Fragebogens 2019, S.</w:t>
      </w:r>
    </w:p>
    <w:p>
      <w:r>
        <w:rPr>
          <w:b/>
        </w:rPr>
        <w:t>E. 19</w:t>
      </w:r>
    </w:p>
    <w:p>
      <w:r>
        <w:t>und 48 [abrufbar unter &lt;www.bfs.admin.ch&gt;]). Im vorliegenden Fall enthalten die medizinischen Akten jedoch keinerlei Anhaltspunkte dafür, dass der Beschwerdeführer einen schlechten oder sogar sehr schlechten Allgemeinzustand aufweist (vgl. E. 3.1.2 hiervor). Zudem ist er bei voller Präsenzzeit hauptsächlich durch die starke Belastung des linken Auges bzw. die hohen visuellen An- forderungen des aktuellen Arbeitsplatzes in Kombination mit dem hohen Arbeitstempo (sowohl beim … als auch im Bereich …) leistungsmässig reduziert (act. III 37/5), womit er im täglichen Leben nicht „stark einge- schränkt“ ist. Daraus ergibt sich, dass aus dem angerufenen Gutachten des BASS wie auch aus dem Rechtsgutachten von GÄCHTER/EGLI/MEIER/FILIPO keine Schlussfolgerungen abgeleitet werden können, die hier für einen höheren Tabellenlohnabzug sprächen.</w:t>
      </w:r>
    </w:p>
    <w:p>
      <w:r>
        <w:t>Urteil des Verwaltungsgerichts des Kantons Bern vom 22. Juli 2021, UV/21/221, Seite 12 Bei einem Abzug vom Tabellenlohn von 10 % resultiert ein Invalidenein- kommen von Fr. 62'011.50 (Fr. 68'901.70 x 0.9). 4.6 Bei einem Valideneinkommen von Fr. 65'000.-- und einem Invali- deneinkommen von Fr. 62'011.50 resultiert eine Einbusse von Fr. 2'988.50 und damit ein Invaliditätsgrad von 4.6 %. 4.7 Nach dem Dargelegten ist der angefochtene Einspracheentscheid vom 16. Februar 2021 (act. II K28) nicht zu beanstanden und die dagegen erhobene Beschwerde abzuweisen. 5. 5.1 In Anwendung von Art. 1 Abs. 1 UVG i.V.m. Art. 61 lit. fbis ATSG (Umkehrschluss; vgl. auch BBl 2018 1639) sind keine Verfahrenskosten zu erheben. 5.2 Es ist keine Parteientschädigung zuzusprechen.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