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219 vom 7. Mai 2021</w:t>
      </w:r>
    </w:p>
    <w:p>
      <w:r>
        <w:t>BE Verwaltungsgericht, 2021-05-07, DE</w:t>
      </w:r>
    </w:p>
    <w:p>
      <w:r>
        <w:rPr>
          <w:b/>
        </w:rPr>
        <w:t xml:space="preserve">Quelle: </w:t>
      </w:r>
      <w:r>
        <w:t>https://mcp.opencaselaw.ch/entscheid/be_verwaltungsgericht_200_2021_219</w:t>
      </w:r>
    </w:p>
    <w:p>
      <w:r>
        <w:t>FR: BE_VERWALTUNGSGERICHT 200 2021 219 du 7 mai 2021</w:t>
      </w:r>
    </w:p>
    <w:p>
      <w:r>
        <w:t>IT: BE_VERWALTUNGSGERICHT 200 2021 219 del 7 maggio 2021</w:t>
      </w:r>
    </w:p>
    <w:p>
      <w:pPr>
        <w:pStyle w:val="Heading2"/>
      </w:pPr>
      <w:r>
        <w:t>Regeste</w:t>
      </w:r>
    </w:p>
    <w:p>
      <w:r>
        <w:t>Einspracheentscheid vom 12. Februar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12. Februar 2021 (act. IIA 152). Streitig und zu prüfen ist der Rentenanspruch.</w:t>
      </w:r>
    </w:p>
    <w:p>
      <w:r>
        <w:rPr>
          <w:b/>
        </w:rPr>
        <w:t>E. 1.3</w:t>
      </w:r>
    </w:p>
    <w:p>
      <w:r>
        <w:t>Die Abteilungen urteilen gewöhnlich in einer Kammer bestehend aus drei Richterinnen oder Richtern (Art. 56 Abs. 1 GSOG).</w:t>
      </w:r>
    </w:p>
    <w:p>
      <w:r>
        <w:t>Urteil des Verwaltungsgerichts des Kantons Bern vom 7. Mai 2021, UV/21/219, Seite 4</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 SR 832.20) und die Änderung vom 9. November 2016 der Verordnung vom 20. Dezember 1982 über die Unfallversicherung (UVV; SR 832.202) in Kraft getreten. Versicherungsleistungen für Unfälle, die sich vor dem In- krafttreten der Änderung vom 25. September 2015 des UVG ereignet ha- ben, und für Berufskrankheiten, die vor diesem Zeitpunkt ausgebrochen sind, werden nach bisherigem Recht gewährt (Abs. 1 der Übergangsbe- stimmungen zur Änderung vom 25. September 2015 des UVG). Der hier relevante Unfall ereignete sich am 8. Oktober 2003 (act. IIA 2/4), womit auf den vorliegenden Fall die bis 31. Dezember 2016 gültig gewesenen Be- stimmungen zur Anwendung gelangen. Diese intertemporalrechtliche Aus- gangslage wirkt sich hier indes nicht entscheidwesentlich aus. 2.2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Der Anspruch auf Leistungen der obligatorischen Unfallversicherung setzt nebst anderem einen natürli- chen und adäquaten Kausalzusammenhang zwischen dem Unfall und dem eingetretenen Schaden voraus (BGE 129 V 177 E. 3.1 und 3.2 S. 181; SVR 2018 UV Nr. 3 S. 9 E. 3.1, 2012 UV Nr. 2 S. 6 E. 3.1). 2.3 Bei einem Rückfall handelt es sich um das Wiederaufflackern einer vermeintlich geheilten Krankheit, so dass es zu ärztlicher Behandlung, möglicherweise sogar zu (weiterer) Arbeitsunfähigkeit kommt. Von Spätfol- gen spricht man, wenn ein scheinbar geheiltes Leiden im Verlaufe längerer</w:t>
      </w:r>
    </w:p>
    <w:p>
      <w:r>
        <w:t>Urteil des Verwaltungsgerichts des Kantons Bern vom 7. Mai 2021, UV/21/219, Seite 5 Zeit organische oder psychische Veränderungen bewirkt, die zu einem an- ders gearteten Krankheitsbild führen können (BGE 144 V 245 E. 6.1 S. 254, 118 V 293 E. 2c S. 296). Liegt ein Rückfall oder eine Spätfolge vor, so besteht eine Leistungspflicht im Sinne von Art. 11 UVV des Unfallversi- cherers nur dann, wenn zwischen den erneut geltend gemachten Be- schwerden und der seinerzeit beim versicherten Unfall erlittenen Gesund- heitsschädigung ein natürlicher und adäquater Kausalzusammenhang be- steht. Dabei kann der Unfallversicherer nicht auf der Anerkennung des Kausalzusammenhangs beim Grundfall oder einem früheren Rückfall be- haftet werden (BGE 118 V 293 E. 2c S. 296; RKUV 1994 U 206 S. 327 E. 2 und S. 328 E. 3b; SVR 2016 UV Nr. 15 S. 47 E. 3.2 und Nr. 18 S. 56 E. 2.1.2). Bei Rückfällen und Spätfolgen obliegt es der versicherten Person, das Vorliegen eines natürlichen Kausalzusammenhangs zwischen dem neuen Beschwerdebild und dem Unfall mit dem im Sozialversicherungs- recht geltenden Beweisgrad der überwiegenden Wahrscheinlichkeit nach- zuweisen. Je grösser der zeitliche Abstand zwischen dem Unfall und dem Auftreten der gesundheitlichen Beeinträchtigung ist, desto strengere Anfor- derungen sind an den Wahrscheinlichkeitsbeweis des natürlichen Kausal- zusammenhangs zu stellen. Bei Beweislosigkeit fällt der Entscheid zu Las- ten der versicherten Person aus (SVR 2016 UV Nr. 18 S. 57 E. 2.2.2; Ent- scheid des Bundesgerichts [BGer] vom 19. Dezember 2016, 8C_61/2016, E. 3.2). 2.4 Ist die versicherte Person infolge des Unfalles zu mindestens 10 % invalid (Art. 8 ATSG), so hat sie Anspruch auf eine Invalidenrente (aArt. 18 Abs. 1 UVG in der bis 31. Dezember 2016 gültig gewesenen Fassung). Der Bundesrat regelt die Bemessung des Invaliditätsgrades in Sonderfällen. Er kann dabei auch von Art. 16 ATSG abweichen (Art. 18 Abs. 2 UVG). Der Rentenanspruch entsteht, wenn von der Fortsetzung der ärztlichen Be- handlung keine namhafte Besserung des Gesundheitszustandes des Ver- sicherten mehr erwartet werden kann und allfällige Eingliederungsmass- nahmen der Invalidenversicherung (IV) abgeschlossen sind. Mit dem Ren- tenbeginn fallen die Heilbehandlung und die Taggeldleistungen dahin (Art. 19 Abs. 1 UVG).</w:t>
      </w:r>
    </w:p>
    <w:p>
      <w:r>
        <w:t>Urteil des Verwaltungsgerichts des Kantons Bern vom 7. Mai 2021, UV/21/219, Seite 6 Invalidität ist die voraussichtlich bleibende oder längere Zeit dauernde gan- ze oder teilweise Erwerbsunfähigkeit (Art. 8 Abs. 1 ATSG). Erwerbsun- 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Massgebend ist – im Unterschied zur Arbeits-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 Verlust einer solchen Erwerbsmöglichkeit gilt als Erwerbsunfähigkeit (BGE 130 V 343 E. 3.2.1 S. 346). 3. 3.1 Aufgrund der Akten steht fest und ist unbestritten, dass es sich bei den Ereignissen vom 8. Oktober 2003 (vgl. act. IIA 2/4) und 8. Januar 2019 (act. IIB 1) um Unfälle im Rechtssinne handelt (vgl. E. 2.2 hiervor). Weiter ist die Rückfallkausalität (vgl. E. 2.3 hiervor) zwischen den beiden Ereignis- sen und den Beeinträchtigungen an der linken Schulter ausgewiesen. Die Beschwerdegegnerin hat denn auch die jeweiligen Versicherungsleistun- gen in Form von Heilbehandlung und Taggeld erbracht (vgl. act. IIB 22, 38, 48-49, 58). 3.2 In medizinischer Hinsicht basiert der angefochtene Einspracheent- scheid vom 12. Februar 2021 (act. IIA 152) massgeblich auf der kreisärztli- chen Beurteilung vom 28. Mai 2020 (act. IIA 108). Darin hielt Dr. med. D.________, Fachärztin für Chirurgie, folgende Diagnosen fest (act. IIA 108/9): • Sturz aus dem kippenden Bagger am 24. Oktober 2002 mit - Abriss Tuberculum majus rechts • Sturz auf Glatteis auf die linke Schulter am 8. Oktober 2003 mit - aktivierter AC-Gelenksarthrose - transmuraler Ruptur der Subscapularissehne - Ruptur des Rotatoren-Intervalls</w:t>
      </w:r>
    </w:p>
    <w:p>
      <w:r>
        <w:t>Urteil des Verwaltungsgerichts des Kantons Bern vom 7. Mai 2021, UV/21/219, Seite 7 - Ruptur des Ligamentum transversum - Läsion des coracohumeralen Ligaments - medialer Luxation der langen Bizepssehne • Rückfall aus dem Jahr 2008 mit erheblicher Beschwerdesymptomatik bei diagnostischer Schulterarthroskopie am 5. August 2008 mit Acro- mioplastik und Bizepstenotomie sowie Bizepstenodese • Sturz beim Aussteigen aus dem Taxi am 8. Januar 2019 mit - Totalruptur der Supraspinatussehne und der kranialen Anteile der Subscapularissehne links - beginnender fettiger Degeneration des Musculus subscapularis - geringer Omarthrose und mässiger AC-Gelenksarthrose - Schulterarthroskopie am 15. Februar 2019 mit Rotatorenmanschetten- Rekonstruktion (Supra- und Infraspinatussehne), Bursektomie, Acro- mioplastik, lateraler Clavicula-Resektion links Von weiteren Behandlungen könne mit überwiegender Wahrscheinlichkeit keine namhafte Besserung der unfallbedingten Schulterbeschwerden er- wartet werden. Mit einer ganztägigen Präsenz zumutbar seien leichte bis vereinzelt mittelschwere Tätigkeiten ohne Zwangshaltung der oberen Ex- tremität, wobei Gewichte bis ca. 15 kg auf Hüfthöhe, bis ca. 5 kg auf Brusthöhe und ca. 1-2 kg über Schulterhöhe gehoben und kurzzeitig getra- gen werden dürften. Belastende Tätigkeiten über Schulterhöhe sowie repe- titive und dauerhafte Schlag- und Vibrationsbelastungen, Tätigkeiten auf Leitern, Gerüsten und anderen absturzgefährdeten Positionen seien nicht zumutbar (act. IIA 108/10).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w:t>
      </w:r>
    </w:p>
    <w:p>
      <w:r>
        <w:t>Urteil des Verwaltungsgerichts des Kantons Bern vom 7. Mai 2021, UV/21/219, Seite 8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Soll ein Versicherungs- fall ohne Einholung eines externen Gutachtens entschieden werden, so sind an die Beweiswürdigung strenge Anforderungen zu stellen. Bestehen auch nur geringe Zweifel an der Zuverlässigkeit und Schlüssigkeit der ver- sicherungsinternen ärztlichen Feststellungen, so sind ergänzende Ab- klärungen vorzunehmen. Insbesondere sind die von der versicherten Per- son aufgelegten Berichte der behandelnden Ärztinnen und Ärzte mitzu- berücksichtigen. Wird die Schlüssigkeit der Feststellungen der versiche- 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 träger zurückzuweisen haben, damit dieser im Verfahren nach Art. 44 ATSG eine Begutachtung veranlasst (BGE 142 V 58 E. 5.1 S. 65, 139 V 225 E. 5.2 S. 229, 135 V 465 E. 4.4 - 4.6 S. 469). 3.4 Die kreisärztliche Beurteilung von Dr. med. D.________ vom 28. Mai 2020 (act. IIA 108) erfüllt die Voraussetzungen der Rechtsprechung an Expertisen (vgl. E. 3.3 hiervor) und überzeugt. Die Fachärztin hat sich in ihrer Einschätzung nach einer persönlichen Untersuchung sorgfältig mit den gesundheitlichen Einschränkungen des Beschwerdeführers auseinan- dergesetzt und ihre Schlussfolgerungen gestützt auf die Vorakten und bild- gebenden Untersuchungen getroffen. Damit erbringt die Expertise vollen</w:t>
      </w:r>
    </w:p>
    <w:p>
      <w:r>
        <w:t>Urteil des Verwaltungsgerichts des Kantons Bern vom 7. Mai 2021, UV/21/219, Seite 9 Beweis (vgl. BGE 125 V 351 E. 3b bb S. 353) und es ist darauf abzustellen. Was der Beschwerdeführer dagegen vorbringt, verfängt nicht. Zunächst ergibt sich aus der Auflistung der Vorakten (act. IIA 108/1-6) wie auch aus der Befunderhebung mit jeweils genauer Angabe, ob die Aussage für die rechte oder linke Schulter bzw. Körperhälfte gelte (vgl. act. IIA 108/6-9), dass die Kreisärztin bei der gesamten Untersuchung beide Schul- tern berücksichtigt hat. Dies gilt ebenso für das in der Folge als medizini- sches Fazit formulierte Zumutbarkeitsprofil (vgl. hierzu Beschwerde S. 7 Ziff. 11). Das Zumutbarkeitsprofil überzeugt denn auch mit Blick auf die Einschätzung des behandelnden Dr. med. E.________, Facharzt für Or- thopädische Chirurgie und Traumatologie des Bewegungsapparates. Nach der von ihm durchgeführten Operation vom 15. Februar 2019 (arthroskopi- sche Rotatorenmanschettenrekonstruktion [Supraspinatus und Infraspina- tus], Bursektomie, Acromioplastik, laterale Clavicularesektion links [act. IIA 18]) hielt er ein Jahr später am 19. Februar 2020 fest, der Beschwerdefüh- rer sei in Ruhe und im Alltag schmerzfrei und könne den Arm ohne Belas- tung normal flektieren. Im … könne er ca. zu 80 % arbeiten, wobei er die verbliebene Einschränkung von 20 % mit dem Tragen und Heben von schweren Koffern begründete (act. IIA 95/3). In der Stellungnahme vom 5. August 2020 (act. II 20) bestätigte der Behandler denn auch grundsätz- lich das kreisärztlich formulierte Zumutbarkeitsprofil und die darin von Dr. med. D.________ veranschlagte Höhe der Arbeits- und Leistungsfähigkeit. Einig sind sich Dr. med. E.________ und die Kreisärztin insbesondere ex- plizit darüber, dass eine schwere Tätigkeit – worunter die Tätigkeit in der … wie auch das Heben und Tragen von Koffern während des … fällt – nicht mehr zumutbar ist, eine entsprechend angepasste Tätigkeit hingegen wei- terhin ausgeführt werden kann (vgl. act. IIA 75/5, 95/3, 108/10). Damit lie- gen entgegen der Ansicht des Beschwerdeführers (vgl. hierzu Beschwerde S. 7 Ziff. 11) keine divergierenden medizinischen Einschätzungen vor, die geeignet wären, auch nur geringe Zweifel an der Beweiskraft der versiche- rungsinternen ärztlichen Beurteilung zu begründen. Unter diesen Umstän- den erweist sich der medizinische Sachverhalt als hinreichend abgeklärt, weshalb weitere Abklärungen – entgegen dem Antrag des Beschwerdefüh- rers – nicht notwendig sind. Vielmehr ist schlüssig und nachvollziehbar dargetan und demnach erstellt, dass der Beschwerdeführer in leichten bis</w:t>
      </w:r>
    </w:p>
    <w:p>
      <w:r>
        <w:t>Urteil des Verwaltungsgerichts des Kantons Bern vom 7. Mai 2021, UV/21/219, Seite 10 vereinzelt mittelschweren Tätigkeiten ohne Zwangshaltung der oberen Ex- tremität, mit Heben und kurzzeitigem Tragen von Gewichten bis ca. 15 kg auf Hüfthöhe, bis ca. 5 kg auf Brusthöhe und ca. 1-2 kg über Schulterhöhe, ohne belastende Tätigkeiten über Schulterhöhe, ohne repetitive und dauer- hafte Schlag- und Vibrationsbelastungen sowie ohne Tätigkeiten auf Lei- tern, Gerüsten und anderen absturzgefährdeten Positionen ganztags ar- beitsfähig ist. Auf dieser medizinischen Grundlage ist nachstehend der Rentenanspruch zu prüfen. 4. 4.1 Die Beschwerdegegnerin setzte den Rentenbeginn unter Berück- sichtigung des Fallabschlusses per 31. Juli 2020 (vgl. act. IIA 113) auf den 1. August 2020 fest, was – in Würdigung der Aktenlage (vgl. u.a. act. II 20, act. IIA 108/10) – zu Recht nicht beanstandet wird (vgl. hierzu BGE 143 V 295 E. 4.1.3 S. 300, 129 V 222). 4.2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4.3 Für die Bemessung des Valideneinkommens ist in der Unfallversi- cherung nach jenem hypothetischen Verdienst zu fragen, welchen die ver- sicherte Person ohne die unfallbedingte Schädigung wahrscheinlich erzie- len würde. Dieser kann sich zwar mit dem mutmasslichen Verdienst als gesunde Person decken, aber nur dann, wenn keine weiteren, nicht unfall- bedingten, leistungsschmälernden Beeinträchtigungen vorhanden sind (SVR 2018 UV Nr. 33 S. 115 E. 2.1).</w:t>
      </w:r>
    </w:p>
    <w:p>
      <w:r>
        <w:t>Urteil des Verwaltungsgerichts des Kantons Bern vom 7. Mai 2021, UV/21/219, Seite 11 4.4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2018 IV Nr. 46 S. 148 E. 3.3). Zu beachten ist, dass allfällige bereits in der Beurteilung der medizinischen Arbeitsfähigkeit enthaltene gesundheitliche Einschränkun- gen nicht zusätzlich in die Bemessung des leidensbedingten Abzugs ein- fliessen und so zu einer doppelten Anrechnung desselben Gesichtspunkts führen dürfen (BGE 146 V 16 E. 4.1 S. 20). 4.5 Gemäss eigenen Angaben absolvierte der Beschwerdeführer von 1978 bis 1980 eine Ausbildung als …, welche er vorzeitig abgebrochen hat (vgl. act. IIA 78/5 Ziff. 5.3, 108/7). Gemäss Auszug aus dem individuellen Konto (IK) war er ab dem Jahr 1992 insbesondere für ein … tätig (act. IIA 124/5-6 i.V.m. den Einträgen gemäss Handelsregister [www.zefix.ch]). Hierzu gab er im Mai 2020 gegenüber der Kreisärztin denn auch an, dass</w:t>
      </w:r>
    </w:p>
    <w:p>
      <w:r>
        <w:t>Urteil des Verwaltungsgerichts des Kantons Bern vom 7. Mai 2021, UV/21/219, Seite 12 er den Führerausweis für … besitze und bis ins Jahr 2006 als … gearbeitet habe (act. IIA 108/7, vgl. auch act. II 1/4). Danach war er im …, in der … sowie als … angestellt (act. IIA 4, 124/4-5; act. IIB 1 Ziff. 3). 4.5.1 Bei diesen Gegebenheiten ist das Valideneinkommen anhand sta- tistischer Werte zu bestimmen, wobei die LSE 2018, Tabelle TA1, Ziff. 49- 52, Landverkehr, Schifffahrt, Luftfahrt, Lagerei, Männer, heranzuziehen ist (vgl. hierzu auch NOGA 2008, Allgemeine Systematik der Wirtschaftszwei- ge, Erläuterungen [NOGA-Erläuterungen], S. 154 ff.). An sich nicht ein- schlägig erscheint (vgl. jedoch E. 6 hiernach) die von der Beschwerdegeg- nerin gewählte Ziffer 49-53 (Verkehr und Lagerei [act. IIA 129]), sind dort doch unter Ziffer 53 auch vom Beschwerdeführer nicht ausgeübte Tätigkei- ten im Post-, Kurier- und Expressdienst mitenthalten (vgl. NOGA- Erläuterungen, S. 161). Hinsichtlich der vom Beschwerdeführer geforderten Einreihung in das Kompetenzniveau 3 (komplexe praktische Tätigkeiten, welche ein grosses Wissen in einem Spezialgebiet voraussetzen; Be- schwerde S. 10 Ziff. 18) ist das Folgende zu beachten: Zwar verfügt der Beschwerdeführer grundsätzlich über mehrjährige Berufserfahrung, jedoch erfolgten die Anstellungen öfters lediglich vorübergehend und hat er insbe- sondere keine anerkannte Ausbildung als …. Eine Einreihung in das Kom- petenzniveau 3 (komplexe praktische Tätigkeiten, welche ein grosses Wis- sen in einem Spezialgebiet voraussetzen) rechtfertigt sich auch nicht mit Blick auf die jeweils erzielten Einkommen (vgl. u.a. act. IIA 2/4 Ziff. 15, 124). Damit ist für das hypothetische Einkommen im Gesundheitsfall auf das Kompetenzniveau 2 (praktische Tätigkeiten, in Abgrenzung von den einfachen Tätigkeiten körperlicher oder handwerklicher Art des lohnmässig tieferen Niveau 1) abzustellen. Aufgerechnet auf ein Jahr, angepasst an die betriebsübliche Wochenarbeitszeit (BFS, betriebsübliche Arbeitszeit nach Wirtschaftsabteilungen, Ziff. 49, Landverkehr und Transport in Rohrfernlei- tungen, zuletzt für das Jahr 2019 veröffentlicht) sowie indexiert auf das Jahr 2020 (BFS, Nominallohnindex, Männer, Tabelle T1.1.15, 2016-2019, Ziff. 49-53, Verkehr und Lagerei, Zahlen 2018 und 2019; BFS, Quartals- chätzung der Nominallohnentwicklung 2020), ergibt dies einen massgebli- chen Betrag von Fr. 71'326.70 (Fr. 5'421.-- x 12 / 40 x 42.7 / 100.4 x 101.8 + 1.3 %).</w:t>
      </w:r>
    </w:p>
    <w:p>
      <w:r>
        <w:t>Urteil des Verwaltungsgerichts des Kantons Bern vom 7. Mai 2021, UV/21/219, Seite 13 4.5.2 Der Beschwerdeführer verwertet die ihm verbliebene vollständige Arbeits- und Leistungsfähigkeit (E. 3.4 hiervor) nicht, weshalb auch das Invalideneinkommen anhand statistischer Daten zu bestimmen ist. Ausge- hend von der LSE 2018, Tabelle TA1, Kompetenzniveau 1, Männer, Total (Fr. 5’417.--), aufgerechnet auf ein Jahr, angepasst an die betriebsübliche wöchentliche Arbeitszeit (BFS, betriebsübliche Arbeitszeit nach Wirt- schaftsabteilungen, Total, zuletzt für das Jahr 2019 veröffentlicht) und in- dexiert auf das Jahr 2020 (BFS, Nominallohnindex, Männer, Tabelle T1.1.15, 2016-2019, Total, Zahlen 2018 und 2019; BFS, Quartalschätzung der Nominallohnentwicklung 2020), resultiert ein Betrag von Fr. 69'256.35 (Fr. 5’417.-- x 12 / 40 x 41.7 / 101.5 x 102.4 + 1.3 %). Der von der Be- schwerdegegnerin gewährte Tabellenlohnabzug von 10 % ist angesichts der 100%igen Arbeits- und Leistungsfähigkeit sowie der gesamten Um- stände nicht zu beanstanden. Eine Vielzahl der nunmehr allein noch zu- mutbaren körperlich leichten bis vereinzelt mittelschweren Tätigkeiten (E. 3.4 hiervor) ist im hier zugrunde gelegten Kompetenzniveau 1 des Ta- bellenlohnes bereits enthalten (vgl. Entscheid des BGer vom 24. Januar 2020, 8C_586/2019, E. 5.3.1). Soweit der Beschwerdeführer weiter vor- bringt, der Tabellenlohnabzug habe aufgrund seines fortgeschrittenen Al- ters höher auszufallen (Beschwerde S. 11 Ziff. 21), kann ihm ebenfalls nicht gefolgt werden. Zum einen werden Hilfsarbeiten auf dem massge- benden hypothetischen ausgeglichenen Arbeitsmarkt grundsätzlich alter- sunabhängig nachgefragt (vgl. BGE 146 V 16 E. 7.2.1 S. 26). Zum anderen hat sich im Bereich der Unfallversicherung keine Rechtsprechung etabliert, wonach die Unverwertbarkeit einer verbleibenden medizinisch- theoretischen Restarbeitsfähigkeit wegen des fortgeschrittenen Alters zu berücksichtigen wäre (vgl. THOMAS FLÜCKIGER in: FRÉSARD- FELLAY/LEUZINGER/PÄRLI [Hrsg.], Basler Kommentar zum Unfallversiche- rungsgesetz, 2019, Art. 18 N. 37; Entscheid des BGer vom 17. März 2020, 8C_799/2019; vgl. insbesondere auch Art. 28 Abs. 4 UVV). Demnach ist ein massgebliches Invalideneinkommen von Fr. 62'330.70 (Fr. 69'256.35 x 0.9) heranzuziehen. 4.6 Bei Gegenüberstellung der beiden Vergleichseinkommen resultiert ein Invaliditätsgrad von gerundet 13 % ([Fr. 71'326.70 ./. Fr. 62'330.70] x</w:t>
      </w:r>
    </w:p>
    <w:p>
      <w:r>
        <w:t>Urteil des Verwaltungsgerichts des Kantons Bern vom 7. Mai 2021, UV/21/219, Seite 14 100 / Fr. 71'326.70; vgl. zur Rundung BGE 130 V 121 E. 3.2 und 3.3 S. 123; SVR 2019 IV Nr. 61 S. 198 E. 7.1). 5. 5.1 Weiter umstritten ist der versicherte Verdienst. Die Beschwerde- gegnerin legte diesen auf Fr. 71'002.-- fest (act. IIA 128, 152/6 E. 3), woge- gen der Beschwerdeführer geltend macht, dieser betrage mindestens Fr. 89'650.-- (Beschwerde S. 12 Ziff. 25). 5.2 Taggelder und Renten werden nach dem versicherten Verdienst bemessen (Art. 15 Abs. 1 UVG). Als versicherter Verdienst gilt für die Be- messung der Taggelder der letzte vor dem Unfall bezogene Lohn, für die Bemessung der Renten der innerhalb eines Jahres vor dem Unfall bezoge- ne Lohn (Art. 15 Abs. 2 UVG). Beginnt die Rente mehr als fünf Jahre nach dem Unfall oder dem Ausbruch der Berufskrankheit, so ist der Lohn mass- gebend, den der Versicherte ohne den Unfall oder die Berufskrankheit im Jahre vor dem Rentenbeginn bezogen hätte, sofern er höher ist als der letzte vor dem Unfall oder dem Ausbruch der Berufskrankheit erzielte Lohn (Art. 24 Abs. 2 UVV). 5.3 Zuletzt vor dem Unfall vom 8. Oktober 2003 erzielte der Beschwer- deführer bei seiner damaligen Arbeitgeberin in der seit März 2002 aus- geübten Tätigkeit als … (act. IIA 2/4 Ziff. 3) unbestrittenermassen einen Stundenlohn von Fr. 25.40 zuzüglich einer jährlichen Gratifikation von Fr. 3'500.--, was bei einer an fünf Tagen pro Woche verrichteten Arbeit, ausmachend 45 Stunden pro Woche, einem Betrag von jährlich Fr. 62’936.- - entspricht ([45h x Fr. 25.40 x 52 Wochen] + Fr. 3'500.--; act. II 1/4; vgl. auch act. IIA 128). Dieser Lohn ist unter Berücksichtigung der Nominalloh- nentwicklung auf das Jahr 2020 hin anzupassen, womit ein massgeblicher Betrag von Fr. 70'799.70 resultiert (Fr. 62’936.-- / 110.1 x 119.9 / 100 x 103.3; BFS, Tabelle T1.1.93, Nominallohnindex, Männer, 2002-2010, Ziff. I, Verkehr und Nachrichtenübermittlung, Zahlen 2003 und 2010; BFS, Tabelle T1.1.10, Nominallohnindex, Männer, 2011-2020, Ziff. 49-53, Verkehr und Lagerei, Zahlen 2010 und 2020). Sofern der Beschwerdeführer einen weit höheren versicherten Verdienst geltend macht, ist festzuhalten, dass mit</w:t>
      </w:r>
    </w:p>
    <w:p>
      <w:r>
        <w:t>Urteil des Verwaltungsgerichts des Kantons Bern vom 7. Mai 2021, UV/21/219, Seite 15 der Regelung von Art. 24 Abs. 2 UVV allein die Anpassung an die normale Lohnentwicklung im angestammten Tätigkeitsbereich angestrebt wird, an- dere Änderungen in den erwerblichen Verhältnissen seit dem Unfall haben hingegen unberücksichtigt zu bleiben. Ausserdem ist der versicherte Ver- dienst denn auch nicht mit dem Begriff des Valideneinkommens gleichzu- setzen (vgl. VOLLENWEIDER/BRUNNER, in: FRÉSARD-FELLAY/LEUZIN- GER/PÄRLI [Hrsg.], a.a.O., Art. 15 N. 7 und 95; DOROTHEA RIEDI HUNOLD, in: HÜRZELER/KIESER [Hrsg.], Kommentar zum schweizerischen Sozialversi- cherungsrecht, UVG, 2018, Art. 15 N. 5 und 32; Entscheid des BGer vom 21. Januar 2021, 8C_378/2020 [zur Publikation vorgesehen], E. 3.4.4). Damit ist der versicherte Verdienst auf Fr. 70'799.70 festzusetzen. Entgegen der Auffassung des Beschwerdeführers (vgl. Beschwerde S. 6 ff. Ziff. 9 f. und 12) liegt schliesslich kein Fall einer Rentenkombination im Sin- ne von Art. 24 Abs. 4 UVV vor. Denn gemäss höchstrichterlicher Recht- sprechung wird der massgebende Jahresverdienst – bei sich teilweise überschneidenden Tatbeständen der Art. 24 Abs. 2 und 4 UVV – bei der erstmaligen Rentenfestsetzung nach mehreren invalidisierenden Unfällen und einem Rentenbeginn später als fünf Jahre nach dem ersten Unfall nach Art. 24 Abs. 2 UVV bestimmt (BGE 139 V 28 E. 4.3.2 S. 35). Art. 24 Abs. 4 UVV umfasst Fälle, in denen die versicherte Person bereits eine Rente bezieht und einen weiteren versicherten Unfall erleidet, was hier mit dem zu beurteilenden erstmaligen Rentenanspruch gerade nicht der Fall ist. 6. Nach dem Dargelegten wäre der Invaliditätsgrad bei korrekter Betrach- tungsweise auf 13 % (E. 4.6 hiervor) und der versicherte Verdienst auf Fr. 70'799.70 (E. 5.3 hiervor) festzusetzen. Damit würde die monatliche Rentenhöhe neu Fr. 613.60 (Fr. 70'799.70 x 0.8 [Art. 20 Abs. 1 UVG] x</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13</w:t>
      </w:r>
    </w:p>
    <w:p>
      <w:r>
        <w:t>% / 12) anstelle der zugesprochenen Fr. 662.70 (vgl. act. IIA 136/1) be- tragen. Ungeachtet der im Bereich der Unfallversicherung prozentgenauen Rentenfestsetzung werden die Invaliditätsbemessung und die Festsetzung des versicherten Verdienstes in einem gewissen Mass durch lohnstatisti-</w:t>
      </w:r>
    </w:p>
    <w:p>
      <w:r>
        <w:t>Urteil des Verwaltungsgerichts des Kantons Bern vom 7. Mai 2021, UV/21/219, Seite 16 sche Vereinfachungen und durch das der rechtsanwenden Behörde zuste- hende Auswahlermessen beeinflusst. Im vorliegenden Fall erscheint es deshalb in Anbetracht der sich aus diesem Auswahlermessen ergebenden rechnerischen Differenzen gerade noch gerechtfertigt, dass es mit den von der Beschwerdegegnerin vorgenommenen und für den Beschwerdeführer vorteilhafteren und auch im Beschwerdeverfahren bestätigten Berechnun- gen (vgl. act. IIA 128 f., 136/1) sein Bewenden hat und auf eine gerichtliche Schlechterstellung verzichtet werden kann. In der Folge ist die gegen den Einspracheentscheid vom 12. Februar 2021 (act. IIA 152) erhobene Be- schwerde abzuweisen. 7. 7.1 In Anwendung von Art. 1 Abs. 1 UVG i.V.m. Art. 61 lit. fbis ATSG (Umkehrschluss; vgl. auch BBl 2018 1639) sind keine Verfahrenskosten zu erheben. 7.2 Bei diesem Verfahrensausgang hat der unterliegende Beschwerde- führer keinen Anspruch auf eine Parteientschädigung (Umkehrschluss aus Art. 1 Abs. 1 UVG i.V.m. Art. 61 lit. g ATSG); auch die obsiegende Be- schwerdegegnerin hat als mit der Durchführung der obligatorischen Unfall- versicherung beauftragte öffentlich-rechtliche Anstalt praxisgemäss keinen Anspruch auf Ausrichtung einer Parteientschädigung (Art. 104 Abs. 4 VR- PG; BGE 126 V 143 E. 4a S. 150).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