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186 vom 2. Februar 2021</w:t>
      </w:r>
    </w:p>
    <w:p>
      <w:r>
        <w:t>BE Verwaltungsgericht, 2021-02-02, DE</w:t>
      </w:r>
    </w:p>
    <w:p>
      <w:r>
        <w:rPr>
          <w:b/>
        </w:rPr>
        <w:t xml:space="preserve">Quelle: </w:t>
      </w:r>
      <w:r>
        <w:t>https://mcp.opencaselaw.ch/entscheid/be_verwaltungsgericht_200_2021_186</w:t>
      </w:r>
    </w:p>
    <w:p>
      <w:r>
        <w:t>FR: BE_VERWALTUNGSGERICHT 200 2021 186 du 2 février 2021</w:t>
      </w:r>
    </w:p>
    <w:p>
      <w:r>
        <w:t>IT: BE_VERWALTUNGSGERICHT 200 2021 186 del 2 febbraio 2021</w:t>
      </w:r>
    </w:p>
    <w:p>
      <w:pPr>
        <w:pStyle w:val="Heading2"/>
      </w:pPr>
      <w:r>
        <w:t>Regeste</w:t>
      </w:r>
    </w:p>
    <w:p>
      <w:r>
        <w:t>Einspracheentscheid vom 3.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2. Februar 2021 (act. II 82 ff.). Streitig und zu prüfen ist, ob der Be- schwerdeführer Anspruch auf Insolvenzentschädigung hat.</w:t>
      </w:r>
    </w:p>
    <w:p>
      <w:r>
        <w:rPr>
          <w:b/>
        </w:rPr>
        <w:t>E. 1.3</w:t>
      </w:r>
    </w:p>
    <w:p>
      <w:r>
        <w:t>Bei offenen Lohnforderungen von gemäss Angaben des Be- schwerdeführers Fr. 4'200.-- (act. II 160 ff.)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Beitragspflichtige Arbeitnehmer von Arbeitgebern, die in der Schweiz der Zwangsvollstreckung unterliegen oder in der Schweiz Arbeit- nehmer beschäftigen, haben unter anderem Anspruch auf Insolvenzent- schädigung, wenn gegen ihren Arbeitgeber der Konkurs eröffnet wird und ihnen in diesem Zeitpunkt Lohnforderungen zustehen (Art. 51 Abs. 1 lit. a AVIG). 2.2 Die Insolvenzentschädigung deckt für das gleiche Arbeitsverhältnis Lohnforderungen für höchstens die letzten vier Monate des Arbeitsverhält- nisses, für jeden Monat jedoch nur bis zum Höchstbetrag nach Art. 3 Abs. 2 AVIG. Als Lohn gelten auch die geschuldeten Zulagen (Art. 52 Abs. 1 AVIG). 2.3 Wird über den Arbeitgeber der Konkurs eröffnet, so muss der Ar- beitnehmer seinen Entschädigungsanspruch spätestens 60 Tage nach der Veröffentlichung des Konkurses im Schweizerischen Handelsamtsblatt (SHAB) bei der öffentlichen Kasse stellen, die am Ort des Betreibungs- und Konkursamtes zuständig ist (Art. 53 Abs. 1 AVIG). Mit dem Ablauf dieser</w:t>
      </w:r>
    </w:p>
    <w:p>
      <w:r>
        <w:t>Urteil des Verwaltungsgerichts des Kantons Bern vom 25. Jan. 2022, ALV/21/186, Seite 5 Frist erlischt der Anspruch auf Insolvenzentschädigung (vgl. Art. 53 Abs. 3 AVIG). 2.4 Mit der Ausrichtung der Entschädigung gehen die Lohnansprüche des Versicherten im Ausmasse der bezahlten Entschädigung und der von der Kasse entrichteten Sozialversicherungsbeiträge samt dem gesetzlichen Konkursprivileg auf die Kasse über (Art. 54 Abs. 1 Satz 1 AVIG). 2.5 Der Arbeitnehmer muss im Konkurs- oder Pfändungsverfahren alles unternehmen, um seine Ansprüche gegenüber dem Arbeitgeber zu wahren, bis die Kasse ihm mitteilt, dass sie an seiner Stelle in das Verfah- ren eingetreten ist. Danach muss er die Kasse bei der Verfolgung ihres Anspruchs in jeder zweckdienlichen Weise unterstützen (Art. 55 Abs. 1 AVIG). 2.6 Die Bestimmung von Art. 55 Abs. 1 AVIG, wonach der Arbeitneh- 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(BGE 114 V 56 E. 4 S. 60; ARV 1999 Nr. 24 S. 140; Entscheid des Bundesgerichts [BGer] vom 29. April 2020, 8C_820/2019, E. 4.3.1). Sie obliegt der versicherten Person in reduziertem Umfang schon vor der Auf- lösung des Arbeitsverhältnisses, wenn der Arbeitgeber der Lohnzahlungs- pflicht nicht oder nur teilweise nachkommt und mit einem Lohnverlust zu rechnen ist. Das Mass der vorausgesetzten Schadenminderungspflicht richtet sich nach den jeweiligen Umständen des Einzelfalls. Vom Arbeit- nehmer wird in der Regel nicht verlangt, dass er bereits während des be- stehenden Arbeitsverhältnisses gegen den Arbeitgeber eine Betreibung einleitet oder eine Klage einreicht. Er hat jedoch seine Lohnforderung ge- genüber dem Arbeitgeber in eindeutiger und unmissverständlicher Weise geltend zu machen (Entscheid des BGer vom 21. März 2019, 8C_79/2019, E. 3.2). Eine ursprüngliche Leistungsverweigerung infolge Verletzung der Schadenminderungspflicht im Sinne der zu Art. 55 Abs. 1 AVIG ergange- nen Rechtsprechung setzt voraus, dass der versicherten Person ein schweres Verschulden, also vorsätzliches oder grobfahrlässiges Handeln</w:t>
      </w:r>
    </w:p>
    <w:p>
      <w:r>
        <w:t>Urteil des Verwaltungsgerichts des Kantons Bern vom 25. Jan. 2022, ALV/21/186, Seite 6 oder Unterlassen vorgeworfen werden kann. Dem Erfordernis der Verhält- nismässigkeit ist mit dem Ausmass der von den Arbeitnehmenden zu er- wartenden Vorkehrungen Rechnung zu tragen. Machen Arbeitnehmende gegenüber dem Arbeitgeber oder der Arbeitgeberin während längerer Zeit keine Anstalten, ihrer Lohnforderung mit hinreichender Deutlichkeit Aus- druck zu verleihen, signalisieren sie mangelndes Interesse. Dadurch verlie- ren sie auch gegenüber der Arbeitslosenversicherung ihre Schutzbedürftig- keit und Schutzwürdigkeit. Nach ständiger Rechtsprechung wird eine kon- sequente und kontinuierliche Weiterverfolgung der eingeleiteten Schritte gefordert, welche in einem der vom Gesetz geforderten zwangsvollstre- ckungsrechtlichen Stadien münden müssen, damit Anspruch auf Insolven- zentschädigung besteht. Arbeitnehmende sollen sich gegenüber dem Ar- beitgeber nämlich so verhalten, als ob es das Institut der Insolvenzent- schädigung gar nicht gäbe. Dieses Erfordernis lässt ein längeres Untätig- sein nicht zu (vgl. Entscheid des BGer vom 27. Januar 2015, 8C_641/2014, E. 4.1). 3. 3.1 Der rechtserhebliche Sachverhalt stellt sich wie folgt dar: 3.1.1 Der Beschwerdeführer war ab 3. Juni 2019 unbefristet in einem Pensum von 100% bei einem Monatslohn von Fr. 4'500.-- als … bei der D.________ GmbH angestellt (act. II 165). Am 29. August 2019 kündigte die D.________ GmbH dieses Arbeitsverhältnis per 30. September 2019. Danach hatte der Beschwerdeführer einen Arbeitsvertrag mit der E.________ GmbH (act. IIA 206 f.), welcher am 20. Januar 2020 seitens der Arbeitgeberin fristlos gekündigt wurde (act. IIA 203). 3.1.2 Am 18. November 2019 beschloss die Gesellschafterversammlung (resp. der Gesellschafter) der D.________ GmbH, diese aufzulösen. Als Liquidator wurde der bisherige Gesellschafter und Geschäftsführer F.________ eingesetzt. Dies wurde am …. November 2019 im SHAB pu- bliziert (act. II 103) und war dem Rechtsvertreter des Beschwerdeführers unstrittig umgehend bekannt (vgl. act. II 97).</w:t>
      </w:r>
    </w:p>
    <w:p>
      <w:r>
        <w:t>Urteil des Verwaltungsgerichts des Kantons Bern vom 25. Jan. 2022, ALV/21/186, Seite 7 3.1.3 Am 29. Januar 2020 stellte der Beschwerdeführer, vertreten durch die B.________, Rechtsanwalt C.________, bei der Schlichtungsbehörde Bern-Mittelland ein Gesuch um Durchführung eines Schlichtungsverfah- rens. Die D.________ GmbH in Liquidation sei zu verurteilen, ihm einen Betrag von insgesamt Fr. 4'200.-- (anteilsmässiger 13. Monatslohn und</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w:t>
      </w:r>
    </w:p>
    <w:p>
      <w:r>
        <w:t>Urteil des Verwaltungsgerichts des Kantons Bern vom 25. Jan. 2022, ALV/21/186, Seite 4 Verwaltungsrechtspflege [VRPG; BSG 155.21]) eingehalten sind, ist auf die Beschwerde einzutreten.</w:t>
      </w:r>
    </w:p>
    <w:p>
      <w:r>
        <w:rPr>
          <w:b/>
        </w:rPr>
        <w:t>E. 13</w:t>
      </w:r>
    </w:p>
    <w:p>
      <w:r>
        <w:t>Ferientage) nebst Zins von 5% ab 1. Oktober 2010 [recte: 2019] zu be- zahlen – unter Kosten- und Entschädigungsfolgen (act. II 160 ff.). 3.1.4 Am 4. Februar 2020 wurde über die bereits aufgelöste D.________ GmbH in Liquidation der Konkurs eröffnet (act. II 104). 3.1.5 Mit Verfügung vom 6. Februar 2020 stellte die Schlichtungsbehör- de Bern-Mittelland das Schlichtungsverfahren gestützt auf Art. 207 Abs. 1 des Bundesgesetzes vom 11. April 1889 über Schuldbetreibung und Kon- kurs (SchKG; SR 281.1) ein (act. II 168 f.). 3.1.6 Am 27. Februar 2020 beantragte der Beschwerdeführer, wiederum vertreten durch die B.________, Rechtsanwalt C.________, beim Be- schwerdegegner Insolvenzentschädigung für die offenen Lohnforderungen (act. II 157 ff.; vgl. act. II 151 ff.). 3.1.7 Am 18. März 2020 meldete der Beschwerdeführer, wiederum ver- treten durch die B.________, Rechtsanwalt C.________, die geltend ge- machte offene Lohnforderung im Konkurs der D.________ GmbH in Liqui- dation an (act. II 133 f.) und reichte diese Anmeldung gleichentags dem Beschwerdegegner nach (act. II 135). 3.2 Nach dem Dargelegten ist belegt, dass der Beschwerdeführer am 29. Januar 2020 bei der Schlichtungsbehörde Bern-Mittelland ein Gesuch um Durchführung eines Schlichtungsverfahrens stellte (vgl. E. 3.1.3 hier- vor) und dass das entsprechende Verfahren von der Schlichtungsbehörde nach der Konkurseröffnung über die D.________ GmbH in Liquidation am 4. Februar 2020 mit Verfügung vom 6. Februar 2020 gestützt auf Art. 207 Abs. 1 SchKG eingestellt wurde (vgl. E. 3.1.4 und 3.1.5 hiervor). Weiter ist belegt, dass der Beschwerdeführer die geltend gemachte offene Lohnfor- derung am 18. März 2020 im Konkurs der D.________ GmbH in Liquidati- on anmeldete (vgl. E. 3.1.7 hiervor).</w:t>
      </w:r>
    </w:p>
    <w:p>
      <w:r>
        <w:t>Urteil des Verwaltungsgerichts des Kantons Bern vom 25. Jan. 2022, ALV/21/186, Seite 8 3.2.1 Dass der Beschwerdeführer in der Zeit zwischen der Beendigung des Arbeitsverhältnisses mit der D.________ GmbH am 30. September 2019 und dem Gesuch um Durchführung eines Schlichtungsverfahrens vom 29. Januar 2020 gegenüber der ehemaligen Arbeitgeberin offene Lohnforderungen geltend gemacht hätte, ist nicht aktenkundig. Der Be- schwerdeführer bringt diesbezüglich vor, er sei nicht in der Lage, einen Brief in deutscher Sprache zu verfassen, sodass er die Forderungen immer mündlich an die Arbeitgeberin habe adressieren müssen, was problema- tisch sei, weil dies nicht bewiesen werden könne (vgl. Beschwerde S. 5). 3.2.2 Weiter macht der Beschwerdeführer geltend, dass es sich bei der D.________ GmbH und der E.________ GmbH faktisch um die gleiche Arbeitgeberin gehandelt habe bzw. er nach dem 30. September 2019 fak- tisch nach wie vor bei der gleichen Arbeitgeberin gearbeitet habe. Die D.________ GmbH habe in den ersten Wochen auch deshalb nicht betrie- ben werden können, weil er nicht die Kündigung vom Geschäftsführer der E.________ GmbH habe riskieren wollen (vgl. Beschwerde S. 7 Ziff. 2 i.V.m. Beschwerde S. 6 unten). Die Frage, ob dieser Argumentation gefolgt werden kann, ist vorliegend – wie im Folgenden zu zeigen sein wird – nicht entscheidwesentlich und kann entsprechend offenbleiben. 3.3 Selbst wenn man aufgrund eines weiterhin bestehenden Arbeits- verhältnisses bis 20. Januar 2020 an die Schadenminderungspflicht tiefere Anforderungen stellen würde (vgl. E. 2.6 hiervor), hat der Beschwerdefüh- rer diese in grobfahrlässiger Weise nicht erfüllt. Entscheidend ist, dass ab Fälligkeit der zur Diskussion stehenden offenen Lohnforderungen am 30. September 2019 bis 29. Januar 2020 nicht einmal die geringsten Bemühungen zu deren Geltendmachung aktenkundig sind, auch nicht, dass der Beschwerdeführer – wie er geltend macht (vgl. Beschwerde S. 5) – den Firmeninhaber immer wieder kontaktiert und aufgefordert hat, den ausstehenden Lohn zu bezahlen. Der Beschwerdeführer selbst räumt denn auch ein, dass diese behaupteten Bemühungen nicht beweisbar sind (vgl. E. 3.2.1 hiervor). Dem seit dem 7. November 2019 (act. II 166) durch die B.________, Rechtsanwalt C.________, vertretenen Beschwerdeführer musste bewusst gewesen sein, dass er seine Lohnforderungen auch während einem nach wie vor bestehenden Arbeitsverhältnis in eindeutiger</w:t>
      </w:r>
    </w:p>
    <w:p>
      <w:r>
        <w:t>Urteil des Verwaltungsgerichts des Kantons Bern vom 25. Jan. 2022, ALV/21/186, Seite 9 und unmissverständlicher Weise hätte geltend machen müssen und dafür auch beweispflichtig ist. Die hierfür notwendigen Schreiben hätte im Übri- gen der Rechtsvertreter aufsetzen können, womit der Einwand des Be- schwerdeführers, er sei nicht in der Lage, einen Brief in deutscher Sprache zu verfassen (vgl. E. 3.2.1 hiervor), ins Leere geht. Der in der Beschwerde aufgeführte Kontakt des Rechtsvertreters des Beschwerdeführers mit Für- sprecherin G.________ erfolgte – soweit belegt – im September 2019 und bezog sich auf eine andere Person, deren Arbeitsverhältnis schon davor geendet hatte (siehe act. II 147). Ein (späterer) Kontakt im Zusammenhang mit den Forderungen des Beschwerdeführers, aufgrund dessen dieser re- sp. dessen Rechtsvertreter darauf vertrauen durfte, dass die ausstehenden Lohnzahlungen ohne Einleitung einer Betreibung bzw. eines Schlichtungs- verfahrens geleistet würden (vgl. Beschwerde S. 5), ist durch nichts belegt. Aufgrund der Aktenlage ist davon auszugehen, dass der Beschwerdeführer bis 29. Januar 2020 seiner Schadenminderungspflicht in keiner Weise nachgekommen ist. Spätestens ab Kenntnis des Entscheids des damaligen Gesellschafters und Geschäftsführers der D.________ GmbH, diese auf- zulösen (und damit spätestens im November 2019; vgl. E. 3.1.2 hiervor), wäre der Beschwerdeführer gehalten gewesen, seine noch offene Lohnfor- derung in eindeutiger und unmissverständlicher Weise dieser gegenüber geltend zu machen und – selbst wenn von einem weiterhin bestehenden Arbeitsverhältnis bis 20. Januar 2020 ausgegangen würde – die Durchset- zung der Forderung dann konsequent und kontinuierlich (wenn allenfalls auch noch ohne Betreibung) weiterzuverfolgen, zumal er angesichts der beschlossenen Auflösung der ehemaligen Arbeitgeberin bei Untätigbleiben konkret mit einem Lohnverlust rechnen musste (vgl. E. 2.6 hiervor). Indem er dies unterlassen hat, ist er in grobfahrlässiger Weise seiner Schaden- minderungspflicht nicht nachgekommen. 3.4 Aus den beantragten Einvernahmen, an welchen sich das Gericht ein Bild über die Geschäftspraktiken der ehemaligen und aktuellen Gesell- schafter und Geschäftsführer der D.________ GmbH und der E.________ GmbH machen solle (Beschwerde S. 3 Ziff. 6), sind in Bezug auf die vorlie- gend entscheidende Frage, ob der Beschwerdeführer seiner Schadenmin- derungspflicht nachgekommen ist, keine neuen Erkenntnisse zu erwarten, weshalb darauf in antizipierter Beweiswürdigung zu verzichten ist (vgl. BGE</w:t>
      </w:r>
    </w:p>
    <w:p>
      <w:r>
        <w:t>Urteil des Verwaltungsgerichts des Kantons Bern vom 25. Jan. 2022, ALV/21/186, Seite 10 144 V 361 E. 6.5 S. 368, 124 V 90 E. 4b S. 94, 122 V 157 E. 1d S. 162; SVR 2019 IV Nr. 50 S. 163 E. 4). Selbst wenn die Vorbringen des Be- schwerdeführers zutreffen sollten, dass die ehemaligen und aktuellen Ge- sellschafter und Geschäftsführer bewusst Konkurse anstreb(t)en, um in die eigene Tasche wirtschaften zu können (vgl. Beschwerde S. 4), befreite dies den Beschwerdeführer nicht von der Pflicht, seine offene Lohnforderung ohne langes Zuwarten in eindeutiger und unmissverständlicher Weise gel- tend zu machen und deren Durchsetzung dann konsequent und kontinuier- lich weiterzuverfolgen. Soweit der Beschwerdeführer geltend macht, dass dies ohnehin nichts gebracht hätte (vgl. Beschwerde S. 7), ist festzuhalten, dass eine solche Annahme ihn nicht von der Schadenminderungspflicht befreit. Nach bundesgerichtlicher Rechtsprechung kann es unter arbeitslo- senversicherungsrechtlichen Gesichtspunkten nicht Sache der versicherten Person sein, darüber zu entscheiden, ob weitere Vorkehren zur Realisie- rung der Lohnansprüche erfolgsversprechend sind oder nicht. Vielmehr hat sie im Rahmen der ihr obliegenden Schadenminderungspflicht grundsätz- lich alles Zumutbare zur Wahrung der Lohnansprüche vorzunehmen (Ent- scheid des BGer vom 7. April 2008, 8C_444/2007, E. 4.2, mit Hinweis auf die Entscheide des Eidgenössischen Versicherungsgerichts [EVG] vom 29. Dezember 2006, C 167/04, E. 3.2, und vom 3. Dezember 2003, C 148/03, E. 2.2). 3.5 Zusammenfassend ist nach dem Dargelegten erstellt, dass der Beschwerdeführer in grobfahrlässiger Weise seiner Schadenminderungs- pflicht nicht nachgekommen ist. Der Beschwerdegegner hat damit einen Anspruch auf Insolvenzentschädigung zu Recht verneint. Der angefochtene Einspracheentscheid des Beschwerdegegners vom 2. Februar 2021 (act. II 82 ff.) ist somit nicht zu beanstanden und die dagegen erhobene Beschwerde abzuweisen. 4. 4.1 In Anwendung von Art. 1 Abs. 1 AVIG i.V.m. Art. 61 lit. fbis ATSG (Umkehrschluss; vgl. auch BBl 2018 1639) sind keine Verfahrenskosten zu erheben.</w:t>
      </w:r>
    </w:p>
    <w:p>
      <w:r>
        <w:t>Urteil des Verwaltungsgerichts des Kantons Bern vom 25. Jan. 2022, ALV/21/186, Seite 11 4.2 Bei diesem Ausgang des Verfahrens besteht kein Anspruch auf eine Parteientschädigung (Art. 1 Abs. 1 AVIG i.V.m. Art. 61 lit. g ATSG [Umkehrschluss]).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