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103 vom 22. Juni 2021</w:t>
      </w:r>
    </w:p>
    <w:p>
      <w:r>
        <w:t>BE Verwaltungsgericht, 2021-06-22, DE</w:t>
      </w:r>
    </w:p>
    <w:p>
      <w:r>
        <w:rPr>
          <w:b/>
        </w:rPr>
        <w:t xml:space="preserve">Quelle: </w:t>
      </w:r>
      <w:r>
        <w:t>https://mcp.opencaselaw.ch/entscheid/be_verwaltungsgericht_200_2021_103</w:t>
      </w:r>
    </w:p>
    <w:p>
      <w:r>
        <w:t>FR: BE_VERWALTUNGSGERICHT 200 2021 103 du 22 juin 2021</w:t>
      </w:r>
    </w:p>
    <w:p>
      <w:r>
        <w:t>IT: BE_VERWALTUNGSGERICHT 200 2021 103 del 22 giugno 2021</w:t>
      </w:r>
    </w:p>
    <w:p>
      <w:pPr>
        <w:pStyle w:val="Heading2"/>
      </w:pPr>
      <w:r>
        <w:t>Regeste</w:t>
      </w:r>
    </w:p>
    <w:p>
      <w:r>
        <w:t>Verfügung vom 30.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Dezember 2020 (act. II 155). Streitig und zu prüfen ist der Anspruch der Beschwerdeführe- rin auf eine Rente der Invalidenversicherung.</w:t>
      </w:r>
    </w:p>
    <w:p>
      <w:r>
        <w:rPr>
          <w:b/>
        </w:rPr>
        <w:t>E. 1.3</w:t>
      </w:r>
    </w:p>
    <w:p>
      <w:r>
        <w:t>Die Abteilungen urteilen gewöhnlich in einer Kammer bestehend aus drei Richterinnen oder Richtern (Art. 56 Abs. 1 GSOG).</w:t>
      </w:r>
    </w:p>
    <w:p>
      <w:r>
        <w:t>Urteil des Verwaltungsgerichts des Kantons Bern vom 22. Juni 2021, IV/21/103,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22. Juni 2021, IV/21/103, Seite 5 sichtigung von Folgen der gesundheitlichen Beeinträchtigung (BGE 142 V 106 E. 4.4 S. 110).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 grad in beiden Bereichen zu bemessen (sog. gemischte Methode; BGE 144 I 21 E. 2.1 S. 23, 142 V 290 E. 4 S. 293).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 [IVV; SR 831.201]). Die Berechnung des Invaliditätsgrads in Bezug auf die Er- werbstätigkeit richtet sich nach Art. 16 ATSG. Dabei sind Validen- und In- valideneinkommen auf der Grundlage einer hypothetischen Vollzeittätigkeit zu ermitteln (BGE 145 V 370). Die prozentuale Erwerbseinbusse wird schliesslich anhand des Beschäftigungsgrads, den die Person hätte, wenn</w:t>
      </w:r>
    </w:p>
    <w:p>
      <w:r>
        <w:t>Urteil des Verwaltungsgerichts des Kantons Bern vom 22. Juni 2021, IV/21/103, Seite 6 sie nicht invalid geworden wäre, gewichtet (Art.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2.6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IVV). Wurde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Dies gilt analog, wenn die versicherte Person nach vorausgegangener rechtskräfti- ger Ablehnung erneut eine Eingliederungsmassnahme beantragt (BGE 113 V 22 E. 3b S. 27; ZAK 1991 S. 262 E. 1a). Erheblich ist eine Sachver- 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w:t>
      </w:r>
    </w:p>
    <w:p>
      <w:r>
        <w:t>Urteil des Verwaltungsgerichts des Kantons Bern vom 22. Juni 2021, IV/21/103, Seite 7 ten, d.h. keine Veränderung des Sachverhalts darlegenden Rentengesu- 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 3. 3.1 Zu prüfen ist der Anspruch der Beschwerdeführerin auf eine IV- Rente. Die Beschwerdegegnerin ist auf die Neuanmeldung vom 12. Juli 2017 (act. II 58) eingetreten und hat den Leistungsanspruch materiell ge- prüft. Praxisgemäss ist die Eintretensfrage durch das Gericht daher nicht</w:t>
      </w:r>
    </w:p>
    <w:p>
      <w:r>
        <w:t>Urteil des Verwaltungsgerichts des Kantons Bern vom 22. Juni 2021, IV/21/103, Seite 8 zu beurteilen (BGE 109 V 108 E. 2b S. 114). Indes ist durch einen Ver- gleich des Sachverhalts im Zeitpunkt der leistungsverneinenden Verfügung vom 12. Oktober 2011 (act. II 56) mit demjenigen im Zeitpunkt der ange- fochtenen Verfügung vom 30. Dezember 2020 (act. II 155) zu prüfen, ob eine wesentliche Änderung in den tatsächlichen Verhältnissen eingetreten ist, die geeignet ist, den Invaliditätsgrad in anspruchsbegründender Weise zu beeinflussen. Gegebenenfalls ist anschliessend der Leistungsanspruch in rechtlicher und tatsächlicher Hinsicht allseitig zu prüfen (vgl. E. 2.6 hier- vor). 3.2 Die Beschwerdegegnerin stützte sich bei Erlass der leistungsabwei- senden Verfügung vom 12. Oktober 2011 (act. II 56) auf das interdisziplinä- re Gutachten der Dres. med. C.________ und E.________, Facharzt für Physikalische Medizin und Rehabilitation und für Rheumatologie, vom 29. Juni 2010 samt Ergänzung vom August 2011, in welchem die Gutachter eine uneingeschränkte Arbeitsfähigkeit feststellten (act. II 38, 50 f.). Im Februar 2017 wurde bei der Beschwerdeführerin ein Mammakarzinom in der linken Brust diagnostiziert (act. II 90 S. 14 f.), welches anlässlich ei- ner Operation vom 28. Februar 2017 entfernt wurde (act. II 61.2 S. 2 f.). Zudem stellte Dr. med. C.________ anlässlich der Begutachtung vom 2. März 2020 (act. II 133.3 S. 2) in psychischer Hinsicht eine gesundheitliche Verschlechterung mit entsprechender Auswirkung auf die Arbeitsfähigkeit fest (act. II 133.3 S. 16). Damit ist eine wesentliche Änderung in den tatsächlichen Verhältnissen, die geeignet ist, den Invaliditätsgrad und damit den Rentenanspruch zu beeinflussen, ohne Weiteres ausgewiesen. Unter diesen Umständen ist der Rentenanspruch frei zu prüfen (vgl. E. 2.6 hier- vor). 3.3 Der medizinische Sachverhalt, der die Grundlage für die Verfügung vom 30. Dezember 2020 (act. II 155) bildet, präsentiert sich im Wesentli- chen wie folgt: 3.3.1 Im Austrittsbericht vom 21. März 2017 (act. II 90 S. 12 f.) berichtete Dr. med. F.________, Fachärztin für Gynäkologie und Geburtshilfe, über ein Mammakarzinom in der linken Brust, welches bei der Patientin am 17. Februar 2017 mittels TruCut Biopsie diagnostiziert (act. II 90 S. 14 f.) und</w:t>
      </w:r>
    </w:p>
    <w:p>
      <w:r>
        <w:t>Urteil des Verwaltungsgerichts des Kantons Bern vom 22. Juni 2021, IV/21/103, Seite 9 anlässlich einer Operation vom 28. Februar 2017 (act. II 61.2 S. 2 f.) ent- fernt wurde. 3.3.2 Im Konsiliarbericht vom 15. Juni 2017 berichtete Dr. med. F.________ über einen schlechten Allgemeinzustand der Patientin auf- grund von starken Schmerzen, Schweissausbrüchen und Schlafstörungen und äusserte den Verdacht auf eine schwere Depression. Es bestehe kein Hinweis auf Tumorpersistenz (act. II 90 S. 6 f.). 3.3.3 Dr. med. G.________, Fachärztin für Psychiatrie und Psychothera- pie, diagnostizierte am 12. Juli 2017 (act. II 97 S. 2 ff.) eine anhaltende somatoforme Schmerzstörung (ICD-10: F45.4) und einen Verdacht auf eine Anpassungsstörung, Angst und depressive Reaktion gemischt (ICD-10: F43.2). Als Differentialdiagnose nannte sie eine rezidivierende depressive Störung, Panikstörung und Somatisierungstendenz bei psychischer Belas- tung. Sie hielt fest, die Patientin sei während der Sprechstunde vom 6. Juni 2017 psychomotorisch angespannt gewesen. Es sei ein affektiver Rapport herstellbar, die affektive Schwingungsfähigkeit sei teilweise etwas reduziert und die Stimmung leicht gedrückt gewesen. Die Patientin sei sehr antriebs- arm, ziehe sich sozial zurück und leide an Durchschlafstörungen. Es wür- den ausgeprägte berufliche und soziale Funktionsbeeinträchtigungen sowie ein hoher subjektiver Leistungsdruck bestehen. Die Bewältigung der alltäg- lichen Routine sei mit grosser Anstrengung verbunden. 3.3.4 Dr. med. H.________, Facharzt für Allgemeine Innere Medizin und für Medizinische Onkologie, berichtete am 11. Januar 2018 über einen or- dentlichen Allgemeinzustand der Patientin, wobei die Schmerztherapie nur mässig erfolgreich sei (act. II 99 S. 2 f.). 3.3.5 Am 24. März 2018 diagnostizierte Dr. med. I.________, Fachärztin für Anästhesiologie, eine Fatigue und Schmerzen mit Medikamentenunver- träglichkeit (act. II 88 S. 3 ff.). Die Patientin sei aktuell vollständig arbeitsun- fähig und könne Arzttermine nur in Begleitung wahrnehmen. Abhängig von ihrer gesundheitlichen Entwicklung sei im weiteren Verlauf wieder für ein bis zwei Stunden täglich eine Arbeit in der angestammten Tätigkeit mög- lich. Die Ärztin beurteilte die gesundheitliche Entwicklung aufgrund der be- reits über ein Jahr anhaltenden Fatigue als schlecht.</w:t>
      </w:r>
    </w:p>
    <w:p>
      <w:r>
        <w:t>Urteil des Verwaltungsgerichts des Kantons Bern vom 22. Juni 2021, IV/21/103, Seite 10 3.3.6 Im Arztbericht vom 24. Juli 2019 (act. II 115) hielt Dr. med. J.________, Fachärztin für Allgemeine Innere Medizin, fest, die bereits vorbestehende Fatigue habe durch die Krebserkrankung stark zugenom- men. Es komme immer wieder zu depressiven Einbrüchen mit dem Gefühl von Wertlosigkeit und Versagen. Die Patientin wirke erschöpft, ratlos, ängstlich und traurig, habe eine schmerzvermittelnde Mimik und Gestik. Sie sei bei klarem Bewusstsein, könne während eines 50-minütigen Ge- spräches aufmerksam bleiben, sei jedoch im formalen Denken auf die ak- tuelle Problematik eingeengt. Dr. med. J.________ diagnostizierte mit Auswirkung auf die Arbeitsfähigkeit unter anderem eine chronische Schmerzstörung mit physischen und psychischen Anteilen, rezidivierende depressive Episoden, gegenwärtig leicht depressiv (ICD-10: F33.0), und eine Akzentuierung der Persönlichkeit mit selbstunsicheren und abhängi- gen Zügen. Sie erachtete ein Pensum von 40 % in einer Anstellung mit klar definierten Zuständigkeitsbereichen und regelmässigen Arbeitszeiten für zumutbar. 3.3.7 Die Dres. med. C.________ und D.________ stellten im interdiszi- plinären Gutachten vom 20. März 2020 (act. II 133.1) die folgenden Dia- gnosen (act. II 133.1 S. 3 f.):</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