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924 vom 2. Juli 2021</w:t>
      </w:r>
    </w:p>
    <w:p>
      <w:r>
        <w:t>BE Verwaltungsgericht, 2021-07-02, DE</w:t>
      </w:r>
    </w:p>
    <w:p>
      <w:r>
        <w:rPr>
          <w:b/>
        </w:rPr>
        <w:t xml:space="preserve">Quelle: </w:t>
      </w:r>
      <w:r>
        <w:t>https://mcp.opencaselaw.ch/entscheid/be_verwaltungsgericht_200_2020_924</w:t>
      </w:r>
    </w:p>
    <w:p>
      <w:r>
        <w:t>FR: BE_VERWALTUNGSGERICHT 200 2020 924 du 2 juillet 2021</w:t>
      </w:r>
    </w:p>
    <w:p>
      <w:r>
        <w:t>IT: BE_VERWALTUNGSGERICHT 200 2020 924 del 2 luglio 2021</w:t>
      </w:r>
    </w:p>
    <w:p>
      <w:pPr>
        <w:pStyle w:val="Heading2"/>
      </w:pPr>
      <w:r>
        <w:t>Regeste</w:t>
      </w:r>
    </w:p>
    <w:p>
      <w:r>
        <w:t>Verfügung vom 13.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November 2020 (act. IIB 360), mit welcher die Beschwerdegegnerin befristet vom 1. Sep- tember 2014 bis 30. April 2015 bei einem Invaliditätsgrad von 100 % eine ganze Rente zugesprochen hat. Streitig und zu prüfen ist der Rentenan- spruch während der ganzen hier in Frage stehenden Zeit (vgl. BGE 125 V 413).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Juli 2021, IV/20/924,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2.2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bei Erwerbstätigen wird das Erwerbseinkommen, das die versicherte Person nach Eintritt der Inva- lidität und nach Durchführung der medizinischen Behandlung und allfälliger</w:t>
      </w:r>
    </w:p>
    <w:p>
      <w:r>
        <w:t>Urteil des Verwaltungsgerichts des Kantons Bern vom 2. Juli 2021, IV/20/924, Seite 6 Eingliederungsmassnahmen durch eine ihr zumutbare Tätigkeit bei ausge- glichener Arbeitsmarktlage erzielen könnte, in Beziehung gesetzt zum Er- werbseinkommen, das sie erzielen könnte, wenn sie nicht invalid geworden wäre (Art. 16 ATSG). 2.4 2.4.1 Ändert sich der Invaliditätsgrad einer Rentenbezügerin oder eines Rentenbezügers erheblich, so wird die Rente von Amtes wegen oder auf Gesuch hin für die Zukunft entsprechend erhöht, herabgesetzt oder aufge- hoben (Art. 17 Abs. 1 ATSG).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w:t>
      </w:r>
    </w:p>
    <w:p>
      <w:r>
        <w:t>Urteil des Verwaltungsgerichts des Kantons Bern vom 2. Juli 2021, IV/20/924, Seite 7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2.4.5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Mit rechtskräftigem Urteil vom 20. Dezember 2013 (act. II 124 [IV/2013/291]) erkannte das Verwaltungsgericht, dass auf die Neuanmel- dung vom September 2012 einzutreten ist, was für das vorliegende Verfah- ren bindend ist. Zu prüfen ist, ob im Vergleichszeitraum in den tatsächli- chen Verhältnissen eine Änderung eingetreten ist, die geeignet ist, den Invaliditätsgrad und damit den Rentenanspruch zu beeinflussen. Dabei ist der Sachverhalt zur Zeit der Verfügung vom 15. März 2012, mit welcher dem Beschwerdeführer eine befristete ganze Rente zugesprochen wurde</w:t>
      </w:r>
    </w:p>
    <w:p>
      <w:r>
        <w:t>Urteil des Verwaltungsgerichts des Kantons Bern vom 2. Juli 2021, IV/20/924, Seite 8 (act. II 79; bestätigt durch VGE IV/2012/349 [act. II 91], respektive BGer 8C_656/2012 [act. II 104;]), mit demjenigen, der sich bis zum Erlass der angefochtenen Verfügung vom 13. November 2020 (act. IIB 360) entwickelt hat, zu vergleichen. 3.2 3.2.1 Bezüglich des Gesundheitszustandes bis zur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vgl. Beschwerdeantwort S. 2 Ziff. 2) sowie Form (Art. 61 lit. b ATSG; Art. 81 Abs. 1 i.V.m. Art. 32 des kantonalen Gesetzes vom 23. Mai 1989 über die Verwaltungsrechtspflege [VRPG; BSG 155.21]) eingehalten sind, ist auf die Beschwerde einzutreten.</w:t>
      </w:r>
    </w:p>
    <w:p>
      <w:r>
        <w:rPr>
          <w:b/>
        </w:rPr>
        <w:t>E. 15</w:t>
      </w:r>
    </w:p>
    <w:p>
      <w:r>
        <w:t>% vor (vgl. act. IIB 346/3) und begründete dies mit den reduziert mögli- chen Tätigkeitsbereichen aufgrund der gesundheitlichen Einschränkungen,</w:t>
      </w:r>
    </w:p>
    <w:p>
      <w:r>
        <w:t>Urteil des Verwaltungsgerichts des Kantons Bern vom 2. Juli 2021, IV/20/924, Seite 18 was nicht zu beanstanden ist. Damit resultiert ein Invalideneinkommen von Fr. 56'649.35 (Fr. 66'646.30 x 0.85 = Fr. 56'649.35). 4.6 Bei einem Valideneinkommen von Fr. 44’548.-- und einem hypothe- tischen Invalideneinkommen von Fr. 56'649.35 ergibt sich keine Erwerbs- einbusse. Es kann offenbleiben, ob die Invaliditätsbemessung anhand der gemischten Methode durchzuführen ist, wie der Beschwerdeführer geltend macht (Beschwerde S. 15 f. Ziff. 23 f.), da in diesem Fall ebenfalls ein ren- tenausschliessender Invaliditätsgrad resultierte, wären die Einschränkun- gen im Aufgabenbereich bei der hier ausgewiesenen vollständigen Arbeits- fähigkeit in einer angepassten Tätigkeit doch nur minimal. 4.7 Nach dem Dargelegten hat der Beschwerdeführer befristet vom 1. September 2014 bis 30. April 2015 (Art. 88a Abs. 1 IVV) Anspruch auf eine ganze Rente. Eingliederungsmassnahmen sind hier nicht durchzu- führen, hat der Beschwerdeführer doch weder das 55. Altersjahr zurückge- legt noch liegt ein 15 Jahre dauernder Rentenbezug vor (vgl. BGE 145 V 209 E. 5.4 S. 214). Damit ist die angefochtene Verfügung vom 13. Novem- ber 2020 (act. IIB 360) rechtens und die Beschwerde ist abzuweisen. 5. 5.1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unter Vorbehalt der zu prüfenden unentgeltlichen Rechtspflege. 5.2 Bei diesem Verfahrensausgang besteht kein Anspruch auf eine Par- teientschädigung (Art. 61 lit. g ATSG [Umkehrschluss]).</w:t>
      </w:r>
    </w:p>
    <w:p>
      <w:r>
        <w:t>Urteil des Verwaltungsgerichts des Kantons Bern vom 2. Juli 2021, IV/20/924, Seite 19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Im vorliegenden Fall war das Verfahren nicht als von vornherein aussichts- los zu bezeichnen. Die Bedürftigkeit des Beschwerdeführers ist erstellt (Beschwerdebeilage [act. I] 3). Eine anwaltliche Verbeiständung war gebo- ten, so dass dem Beschwerdeführer die unentgeltliche Rechtspflege zu gewähren ist unter Beiordnung von Rechtsanwalt B.________ als amtlicher Anwalt. 5.4 Dementsprechend ist der Beschwerdeführer – unter Vorbehalt der Nachzahlungspflicht gemäss Art. 123 der Schweizerischen Zivilprozess- ordnung vom 19. Dezember 2008 (ZPO; SR 272) – von der Zahlungspflicht betreffend die Verfahrenskosten zu befreien. 5.5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18. Februar 2021 macht Rechtsanwalt B.________ eine Parteientschädigung von Fr. 2'937.50 (Aufwand 11,75 Stunden à</w:t>
      </w:r>
    </w:p>
    <w:p>
      <w:r>
        <w:t>Urteil des Verwaltungsgerichts des Kantons Bern vom 2. Juli 2021, IV/20/924, Seite 20 Fr. 250.--), zuzüglich Auslagen von Fr. 32.40 und MWST von Fr. 228.65, insgesamt Fr. 3’198.55, geltend, was nicht zu beanstanden ist. Das amtli- che Honorar beträgt Fr. 2'350.-- (Aufwand 11,75 Stunden à Fr. 200.--), zu- züglich Auslagen von Fr. 32.40 und MWST von Fr. 183.45 (7.7 % von Fr. 2'382.40), insgesamt Fr. 2'565.85, und ist Rechtsanwalt B.________ aus der Gerichtskasse zu vergüten. Vorbehalten bleibt die Nachzahlungspflicht des Beschwerdeführers nach Art. 123 ZPO i.V.m. Art. 113 VRPG. Demnach entscheidet das Verwaltungsgericht: 1. Die Beschwerde wird abgewiesen. 2. Das Gesuch um unentgeltliche Rechtspflege und Beiordnung von Rechtsanwalt B.________ als amtlicher Anwalt wird gutgeheissen. 3. Die Verfahrenskosten von Fr. 800.-- werden dem Beschwerdeführer zur Bezahlung auferlegt. Aufgrund der gewährten unentgeltlichen Rechtspflege wird er – unter Vorbehalt der Nachzahlungspflicht gemäss Art. 123 ZPO – jedoch von der Zahlungspflicht befreit. 4. Es wird keine Parteientschädigung zugesprochen. 5. Der tarifmässige Parteikostenersatz des amtlichen Anwalts wird in die- sem Verfahren auf Fr. 3'198.55 (inkl. Auslagen und MWST) festge- setzt. Davon wird Rechtsanwalt B.________ nach Eintritt der Rechts- kraft dieses Urteils aus der Gerichtskasse eine auf Fr. 2'565.85 festge- setzte Entschädigung (inkl. Auslagen und MWST) vergütet. Vorbehal- ten bleibt die Nachzahlungspflicht nach Art. 123 ZPO.</w:t>
      </w:r>
    </w:p>
    <w:p>
      <w:r>
        <w:t>Urteil des Verwaltungsgerichts des Kantons Bern vom 2. Juli 2021, IV/20/924, Seite 21 6. Zu eröffnen (R): - Rechtsanwalt B.________ z.H. des Beschwerdeführers - IV-Stelle Bern (samt Eingabe des Beschwerdeführers vom 18. Feb- ruar 2021)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