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812 vom 14. April 2021</w:t>
      </w:r>
    </w:p>
    <w:p>
      <w:r>
        <w:t>BE Verwaltungsgericht, 2021-04-14, DE</w:t>
      </w:r>
    </w:p>
    <w:p>
      <w:r>
        <w:rPr>
          <w:b/>
        </w:rPr>
        <w:t xml:space="preserve">Quelle: </w:t>
      </w:r>
      <w:r>
        <w:t>https://mcp.opencaselaw.ch/entscheid/be_verwaltungsgericht_200_2020_812</w:t>
      </w:r>
    </w:p>
    <w:p>
      <w:r>
        <w:t>FR: BE_VERWALTUNGSGERICHT 200 2020 812 du 14 avril 2021</w:t>
      </w:r>
    </w:p>
    <w:p>
      <w:r>
        <w:t>IT: BE_VERWALTUNGSGERICHT 200 2020 812 del 14 aprile 2021</w:t>
      </w:r>
    </w:p>
    <w:p>
      <w:pPr>
        <w:pStyle w:val="Heading2"/>
      </w:pPr>
      <w:r>
        <w:t>Regeste</w:t>
      </w:r>
    </w:p>
    <w:p>
      <w:r>
        <w:t>Einspracheentscheid vom 8.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Oktober 2020 (act. II 2-7). Streitig und zu prüfen ist der Anspruch auf Arbeitslosent- schädigung ab dem 12. Juni 2020 und hierbei die Frage der Vermittlungs- fähigkeit. Soweit der Beschwerdeführer die Anweisung der Bezahlung von Arbeitslosenentschädigung ab dem 19. Dezember 2020 durch das Gericht beantragt, ist darauf mangels Anfechtungsgegenstandes nicht einzutreten (vgl.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 zunehmen und an Eingliederungsmassnahmen teilzunehmen (Art. 15 Abs. 1 AVIG). Zur Vermittlungsfähigkeit gehört demnach nicht nur die Ar- beitsfähigkeit im objektiven Sinn, sondern subjektiv auch die Bereitschaft, die Arbeitskraft entsprechend den persönlichen Verhältnissen während der üblichen Arbeitszeit einzusetzen. Die Vermittlungsfähigkeit als Anspruchs- voraussetzung schliesst graduelle Abstufungen aus. Entweder ist die versi- cherte Person vermittlungsfähig, insbesondere bereit, eine zumutbare Ar- beit (im Umfang von mindestens 20 % eines Normalarbeitspensums; vgl.</w:t>
      </w:r>
    </w:p>
    <w:p>
      <w:r>
        <w:t>Urteil des Verwaltungsgerichts des Kantons Bern vom 14. April 2021, ALV/20/812, Seite 5 Art. 5 AVIV) anzunehmen, oder nicht. Die Vermittlungsfähigkeit beurteilt sich prospektiv, somit aufgrund der tatsächlichen Verhältnisse, wie sie bis zum Erlass des Eispracheentscheids bestanden haben (BGE 146 V 210 E. 3.1 f. S. 212). 2.2 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Versicherte, die im Hinblick auf an- 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385 E. 3a S. 388, 115 V 434 E. 2a S. 436; ARV 1998 S. 265 E. 1b). 2.3 Körperlich oder geistig Behinderte gelten nach Art. 15 Abs. 2 AVIG als vermittlungsfähig, wenn ihnen bei ausgeglichener Arbeitsmarktlage, unter Berücksichtigung ihrer Behinderung, auf dem Arbeitsmarkt eine zu- mutbare Arbeit vermittelt werden könnte. Behinderung im Sinne dieser Be- stimmung meint eine dauernde und erhebliche Beeinträchtigung der Ar- beitsfähigkeit, die allerdings nicht im invalidenversicherungsrechtlichen Sinne invalidisierend wirken muss (ARV 2006 S. 142 E. 1.2, 2003 S. 58 E. 2a). Ist ein Behinderter, unter der Annahme einer ausgeglichenen Arbeitsmarkt- lage, nicht offensichtlich vermittlungsunfähig und hat er sich bei der Invali- denversicherung oder bei einer anderen Versicherung angemeldet, so gilt er bis zum Entscheid der anderen Versicherung als vermittlungsfähig (Art. 15 Abs. 3 AVIV). Sinn und Zweck dieser Bestimmung liegt darin, für</w:t>
      </w:r>
    </w:p>
    <w:p>
      <w:r>
        <w:t>Urteil des Verwaltungsgerichts des Kantons Bern vom 14. April 2021, ALV/20/812, Seite 6 die Zeit, in welcher der Anspruch auf Leistungen einer anderen Versiche- rung abgeklärt wird und somit noch nicht feststeht (Schwebezustand), Lü- cken im Erwerbsersatz zu vermeiden. Dies wird durch die Vorleistungs- pflicht der Arbeitslosenversicherung im Sinne von Art. 70 Abs. 2 lit. b ATSG und Art. 15 Abs. 2 AVIG i.V.m. Art. 15 Abs. 3 AVIV bewerkstelligt. Aufgrund dieser Bestimmungen hat die Arbeitslosenversicherung arbeitslose, bei einer anderen Versicherung angemeldete Personen zu entschädigen, falls ihre Vermittlungsunfähigkeit nicht offensichtlich ist. Die Vorleistungspflicht der Arbeitslosenversicherung ist auf die Dauer des Schwebezustandes begrenzt. Sobald das Ausmass der Erwerbsunfähigkeit feststeht, wird der versicherte Verdienst im Sinne von Art. 40b AVIV angepasst. Gemäss die- ser Bestimmung ist der Verdienst massgebend, welcher der verbleibenden Erwerbsfähigkeit entspricht. Der Sinn der vollumfänglichen Vorleistungs- pflicht der Arbeitslosenversicherung während der Dauer des Schwebezu- standes liegt in der Gewährleistung des Lebensunterhaltes der arbeitslosen Neubehinderten bis zum Abschluss des Verfahrens der Invalidenversiche- rung oder der anderen Versicherung i.S.v. Art. 15 Abs. 3 i.V.m. Art. 15 Abs. 2 AVIV (BGE 145 V 399 E. 2.3 f. S. 402, 136 V 95 E. 7.1 S. 101). 3. 3.1 Aus den Akten ergibt sich, dass beim Beschwerdeführer unter ande- rem eine rechtsseitige Handgelenksarthrose radiokarpal vorliegt, welcher am 21. Dezember 2018 mittels einer operativen Versorgung begegnet wur- de; es folgten weitere operative Eingriffe. Die Behandlerin Prof. Dr. med. B.________, Fachärztin für Plastische, Rekonstruktive und Ästhetische Chirurgie sowie Handchirurgie, Spital C.________, attestierte seither (21. Dezember 2018) eine 100%ige Arbeitsunfähigkeit in der bis dahin ausgeübten Tätigkeit als … (vgl. act. IIB 128, 147, 162-163, 167, 199-200, 218-225, 233-234, 290-291). Nach einem neuerlichen Eingriff vom 31. Ja- nuar 2020 (act. IIB 151-154) zeigte sich die behandelnde Ärztin zufrieden (act. IIB 156). Im Bericht vom 2. März 2020 (act. IIB 146) hielt sie fest, der höchst motivierte Beschwerdeführer könne sicherlich zu 40 % an einer be- ruflichen Abklärungsmassnahme teilnehmen, soweit diese keine belasten- denden Tätigkeiten mit der rechten Hand beinhalte. Ab dem 1. Juni 2020</w:t>
      </w:r>
    </w:p>
    <w:p>
      <w:r>
        <w:t>Urteil des Verwaltungsgerichts des Kantons Bern vom 14. April 2021, ALV/20/812, Seite 7 attestierte Prof. Dr. med. B.________ eine Arbeitsunfähigkeit von 80 %, mithin eine Teilarbeitsfähigkeit von 20 % (act. IIB 24, 57, 69), und hielt fest, der Beschwerdeführer könne Büroarbeiten ohne repetitive Drehungen des Vorderarmes rechts, ohne Schläge, ohne Vibrationen und ohne das Heben von Lasten über 10 kg ausführen (act. IIB 103). Im Bericht vom 24. Sep- tember 2020 (act. IIB 39) bestätigte bzw. präzisierte sie ihre Angaben da- hingehend, dass eine den gesundheitlichen Einschränkungen angepasste Tätigkeit (bimanuell, vor allem gehend und sitzend, mit Heben von Lasten bis maximal 10 kg rechts, ohne Vibrationen und ohne abrupte Drehbewe- gungen unter kontrollierbaren Aufträgen) während zwei bis drei Stunden pro Tag möglich sei, wobei das Arbeitstempo aufgrund der „lediglichen Hilfshandaktivität“ um ca. 50 % reduziert sei. 3.2 Es ist weiter ausgewiesen, dass der Beschwerdeführer ab Beginn der medizinisch attestierten Arbeitsunfähigkeit vom 21. Dezember 2018 bzw. nach Ablauf der entsprechenden Wartefrist (vgl. act. IIA 117) Taggeld- leistungen der Krankentaggeldversicherung der ehemaligen Arbeitgeberin bezogen hat (vgl. act. IIA 3, 33-37, 47, 107-118; act. IIB 88, 265; ab März 2020 für eine Arbeitsunfähigkeit von 50 % [act. IIA 33, 47]). Diese Leistun- gen wurden nach Erschöpfung der vertraglichen Leistungsdauer per 19. Dezember 2020 eingestellt (act. IIB 48-49). Im April 2019 hat sich der Beschwerdeführer zudem bei der Eidgenössischen Invalidenversicherung (IV) zum Leistungsbezug angemeldet (vgl. Akten der IVB [act. III] 50), wor- aufhin die IVB erwerbliche und medizinische Abklärungen vornahm. Im hier massgeblichen Zeitpunkt des angefochtenen Einspracheentscheides vom 8. Oktober 2020 (act. II 2-7; vgl. E. 2.1 hiervor) war der IV-Rentenanspruch nach wie vor unklar, erteilte doch die IVB im Dezember 2020 Kostengut- sprache für eine ab Januar 2021 durchzuführende Grundabklärung (act. III 129). Ausserdem liess sie den Beschwerdeführer ebenfalls im Dezember 2020 (weiter) medizinisch abklären (act. III 130). Damit besteht ein Schwe- bezustand im Sinne der Rechtsprechung, in welchem der Anspruch auf IV- Leistungen noch offen und eine Vorleistungspflicht der Arbeitslosenversi- cherung zu prüfen ist (vgl. E. 2.3 hiervor). 3.3 Unbestritten ist, dass die bisherige Tätigkeit als … aufgrund der Handgelenksbeschwerden seit dem 21. Dezember 2018 nicht mehr zumut-</w:t>
      </w:r>
    </w:p>
    <w:p>
      <w:r>
        <w:t>Urteil des Verwaltungsgerichts des Kantons Bern vom 14. April 2021, ALV/20/812, Seite 8 bar ist (vgl. u.a. act. IIB 39, 168, 235, 265). Nachdem anfänglich eine vollständige Arbeitsunfähigkeit in sämtlichen Tätigkeiten bestand, ist ge- stützt auf die Einschätzung der behandelnden Ärztin (act. IIB 24, 57, 69; vgl. E. 3.1 hiervor) sowie die Stellungnahme des Beschwerdeführers vom 1. Oktober 2020 (act. II 8 i.V.m. 19) erstellt, dass er ab dem 1. Juni 2020 gewillt und in der Lage ist, eine leidensangepasste Tätigkeit im Umfang von 20 % anzunehmen (vgl. hierzu auch BGE 142 V 380 E. 3.2 S. 382, 136 V 95 E. 7.1 S. 101 und E. 7.3 f. S. 103 sowie Entscheide des Bundes- gerichts vom 24. April 2020, 8C_138/2020, E. 2.2.1, und 24. März 2010, 8C_651/2009, E. 5.2). Daran ändert nichts, dass sich Prof. Dr. med. B.________ im Bericht vom 24. September 2020 (act. IIB 39) nicht eindeu- tig zu einer Arbeitsfähigkeit im ersten Arbeitsmarkt geäussert, sondern sich für eine Abklärung der noch möglichen Tätigkeiten im geschützten Rahmen ausgesprochen hat. Denn die Behandlerin setzte den Begriff des ersten Arbeitsmarktes mit einem Umfeld gleich, welches keinerlei gesundheitliche Einschränkungen toleriere. Gerade unter Berücksichtigung der von ihr be- nannten Einschränkungen ist eine Arbeitsfähigkeit im Umfang von 20 % aber gegeben und eine diesbezügliche Motivation des Beschwerdeführers auch vorhanden. Ebenfalls sind mit der zeitlichen Einschränkung auf zwei bis drei Stunden pro Tag keine derart engen Grenzen an die Auswahl eines Arbeitsplatzes gesetzt, dass Vermittlungsunfähigkeit angenommen werden müsste (vgl. E. 2.2 hiervor), denn hinsichtlich der Tageszeit, zu welcher die Arbeit zu verrichten wäre, machen der Beschwerdeführer und dessen Be- handlerin gerade keine weiteren Vorgaben bzw. Einschränkungen. Der ausgeglichene Arbeitsmarkt (vgl. hierzu BGE 138 V 457 E. 3.1 S. 459; SVR 2019 IV Nr. 21 S. 66 E. 4.2) hält denn auch Stellenangebote bereit, bei welchen gesundheitlich eingeschränkte Personen mit einem sozialen Ent- gegenkommen von Seiten der Arbeitgebenden rechnen können. Schliess- lich tätigte der Beschwerdeführer im Juni, Juli und September 2020 je zwei (act. II 24-27; act. IIB 46) sowie im Oktober 2020 drei Arbeitsbemühungen (act. IIB 13). Bei diesen Gegebenheiten liegt keine offensichtliche Vermitt- lungsunfähigkeit vor. Vielmehr ist die Vermittlungsfähigkeit des Beschwer- deführers und damit die Vorleistungspflicht der Arbeitslosenversicherung ab dem 12. Juni 2020 bei noch offener Leistungspflicht der IV zu bejahen (vgl. E. 2.1 und 2.3 hiervor).</w:t>
      </w:r>
    </w:p>
    <w:p>
      <w:r>
        <w:t>Urteil des Verwaltungsgerichts des Kantons Bern vom 14. April 2021, ALV/20/812, Seite 9 3.4 Soweit darauf einzutreten ist, ist daher in Gutheissung der Be- schwerde der angefochtene Einspracheentscheid vom 8. Oktober 2020 (act. II 2-7) aufzuheben und die Vermittlungsfähigkeit des Beschwerdefüh- rers ab dem 12. Juni 2020 zu bejahen. Die zuständige Stelle hat die weite- ren Anspruchsvoraussetzungen zu prüfen und über den Anspruch neu zu verfügen. 4. 4.1 In Anwendung von Art. 1 Abs. 1 AVIG i.V.m. Art. 61 lit. a ATSG (in der bis 31. Dezember 2020 gültigen Fassung) sind keine Verfahrenskosten zu erheben (vgl. Art. 83 ATSG). 4.2 Trotz seines Obsiegens hat der nicht vertretene Beschwerdeführer keinen Anspruch auf eine Parteientschädigung, da sein Aufwand den Rahmen dessen nicht überschreitet, was der Einzelne üblicher- und zu- mutbarerweise nebenbei zur Besorgung persönlicher Angelegenheiten auf sich zu nehmen hat (vgl. BGE 127 V 205 E. 4b S. 207; SVR 2019 KV Nr. 7 S. 51 E. 9.2.1). Demnach entscheidet das Verwaltungsgericht: 1. Soweit darauf einzutreten ist, wird in Gutheissung der Beschwerde der angefochtene Einspracheentscheid des Amtes für Arbeitslosenversi- cherung des Kantons Bern vom 8. Oktober 2020 aufgehoben und die Vermittlungsfähigkeit des Beschwerdeführers ab dem 12. Juni 2020 bejaht. Die Sache wird zum Vorgehen im Sinne der Erwägungen an den Beschwerdegegner zurückgewiesen. 2. Es werden weder Verfahrenskosten erhoben noch wird eine Parteien- tschädigung zugesprochen.</w:t>
      </w:r>
    </w:p>
    <w:p>
      <w:r>
        <w:t>Urteil des Verwaltungsgerichts des Kantons Bern vom 14. April 2021, ALV/20/812, Seite 10 3. Zu eröffnen (R): - A.________ - Amt für Arbeitslosenversicherung des Kantons Bern, Rechtsdienst - Staatssekretariat für Wirtschaft – SECO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w:t>
      </w:r>
    </w:p>
    <w:p>
      <w:r>
        <w:t>Urteil des Verwaltungsgerichts des Kantons Bern vom 14. April 2021, ALV/20/812, Seite 4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grundsätzlich (siehe E. 1.2 hiernach)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