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639 vom 10. November 2020</w:t>
      </w:r>
    </w:p>
    <w:p>
      <w:r>
        <w:t>BE Verwaltungsgericht, 2020-11-10, DE</w:t>
      </w:r>
    </w:p>
    <w:p>
      <w:r>
        <w:rPr>
          <w:b/>
        </w:rPr>
        <w:t xml:space="preserve">Quelle: </w:t>
      </w:r>
      <w:r>
        <w:t>https://mcp.opencaselaw.ch/entscheid/be_verwaltungsgericht_200_2020_639</w:t>
      </w:r>
    </w:p>
    <w:p>
      <w:r>
        <w:t>FR: BE_VERWALTUNGSGERICHT 200 2020 639 du 10 novembre 2020</w:t>
      </w:r>
    </w:p>
    <w:p>
      <w:r>
        <w:t>IT: BE_VERWALTUNGSGERICHT 200 2020 639 del 10 novembre 2020</w:t>
      </w:r>
    </w:p>
    <w:p>
      <w:pPr>
        <w:pStyle w:val="Heading2"/>
      </w:pPr>
      <w:r>
        <w:t>Regeste</w:t>
      </w:r>
    </w:p>
    <w:p>
      <w:r>
        <w:t>Einspracheentscheid vom 30. Juni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30. Juni 2020 (act. II 146; act. IIA 255). Streitig und zu prüfen ist der Rentenan- spruch im Zusammenhang mit den Ereignissen vom 17. Januar 2013 und vom 25. Juli 2017 und dabei insbesondere, ob die Beschwerdegegnerin ab Juni 2019 zu Recht keine höhere Invalidenrente als eine solche basierend auf einem Invaliditätsgrad von 13 % gewährte. Ausserhalb des Anfechtungsgegenstandes liegt hingegen der Anspruch auf Integritätsentschädigung, da die beiden Verfügungen vom 5. April 2019 (act. II 124; act. IIA 192) in Rechtskraft erwuchsen.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und für Berufskrankheiten, die vor diesem Zeitpunkt ausgebrochen</w:t>
      </w:r>
    </w:p>
    <w:p>
      <w:r>
        <w:t>Urteil des Verwaltungsgerichts des Kantons Bern vom 10. Nov. 2020, UV/20/639, Seite 5 sind, werden nach bisherigem Recht gewährt (Abs. 1 der Übergangsbe- stimmungen zur Änderung vom 25. September 2015 des UVG). Demnach ist vorliegend der erste Unfall vom 17. Januar 2013 anhand der bis 31. De- zember 2016 gültigen Bestimmungen und der zweite Unfall vom 25. Juli 2017 anhand der ab dem 1. Januar 2017 gültigen Bestimmungen zu beur- teilen. Diese intertemporalrechtliche Ausgangslage wirkt sich hier indes nicht entscheidwesentlich aus.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Der Anspruch auf Leistungen der obligatorischen Unfallversicherung setzt nebst anderem einen natürlichen und adäquaten Kausalzusammenhang zwischen dem Unfall und dem eingetretenen Schaden voraus (BGE 129 V 177 E. 3.1 und 3.2 S. 181; SVR 2018 UV Nr. 3 S. 9 E. 3.1, 2012 UV Nr. 2 S. 6 E. 3.1). 2.3 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an- ders gearteten Krankheitsbild führen können (BGE 144 V 245 E. 6.1 S. 254, 118 V 293 E. 2c S. 296). Liegt ein Rückfall oder eine Spätfolge vor, so besteht eine Leistungspflicht im Sinne von Art. 11 UVV des Unfallversicherers nur dann, wenn zwischen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w:t>
      </w:r>
    </w:p>
    <w:p>
      <w:r>
        <w:t>Urteil des Verwaltungsgerichts des Kantons Bern vom 10. Nov. 2020, UV/20/639, Seite 6 S. 296; RKUV 1994 U 206 S. 327 E. 2 und S. 328 E. 3b; SVR 2016 UV Nr. 15 S. 47 E. 3.2 und Nr. 18 S. 56 E. 2.1.2). 2.4 2.4.1 Ist die versicherte Person infolge des Unfalles zu mindestens 10 % invalid (Art. 8 ATSG), so hat sie Anspruch auf eine Invalidenrente, sofern sich der Unfall vor Erreichen des ordentlichen Rentenalters ereignet hat (Art. 18 Abs. 1 UVG; vgl. zur altrechtlichen Regelung: aArt. 18 Abs. 1 UVG in der bis 31. Dezember 2016 gültig gewesenen Fassung). Nach der Rechtsprechung ist nur eine Rente auf Basis von einheitlichen Berech- nungsgrundlagen auszurichten, wenn die Invalidität auf mehrere Unfälle zurückzuführen ist (sog. Rentenkombination; vgl. Entscheid des Eidgenös- sischen Versicherungsgerichts [EVG; heute Bundesgericht {BGer}] vom 30. April 2004, U 345/02, E. 5.2, insb. mit Hinweis auf BGE 123 V 45 und RKUV 1998 S. 91). 2.4.2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2.4.3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w:t>
      </w:r>
    </w:p>
    <w:p>
      <w:r>
        <w:t>Urteil des Verwaltungsgerichts des Kantons Bern vom 10. Nov. 2020, UV/20/639, Seite 7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Aufgrund der Akten steht fest und ist unbestritten, dass es sich bei den Ereignissen vom 17. Januar 2013 (act. II 1) und vom 25. Juli 2017 (act. IIA 1) um Unfälle im Rechtssinne handelt (vgl. E. 2.2 hiervor). Weiter ausgewiesen ist die Spätfolge- bzw. Rückfallkausalität (vgl. E. 2.3 hiervor) zwischen dem Unfall vom 17. Januar 2013 (folgenloser Abschluss mit rechtskräftiger Verfügung vom 14. August 2014 [act. II 104]) und den Be- einträchtigungen am linken Handgelenk respektive die Kausalität (vgl. E. 2.2 hiervor) zwischen dem Unfall vom 25. Juli 2017 (act. IIA 1) und den Beeinträchtigungen am rechten Handgelenk, der Fallabschluss per 14. April 2019 (act. IIA 199) sowie die Unzumutbarkeit der angestammten Tätigkeit als angelernter ... respektive .... Umstritten ist hingegen der Invali- ditätsgrad. 3.2 In medizinischer Hinsicht lässt sich den Akten im Wesentlichen das Folgende entnehmen: 3.2.1 Nach dem ersten Unfall am 17. Januar 2013 führten die Dres. med. E.________, Facharzt für Orthopädische Chirurgie und Traumatologie des Bewegungsapparates, und F.________, Facharzt für Orthopädische Chir- urgie und Traumatologie des Bewegungsapparates, vom Spital L.________</w:t>
      </w:r>
    </w:p>
    <w:p>
      <w:r>
        <w:t>Urteil des Verwaltungsgerichts des Kantons Bern vom 10. Nov. 2020, UV/20/639, Seite 8 im Bericht vom 24. Januar 2013 (act. II 6) die Diagnose einer wenig dislo- zierten distalen intraartikulären Radiusfraktur links auf. Die Fraktur wurde zunächst konservativ behandelt (act. II 6 unten). Auf- grund anhaltender Schmerzen wurden im weiteren Verlauf am 21. Juni 2013 ein arthroskopisches Débridement des TFCC (Triangular fibrocartila- ge complex) und eine Ulnaverkürzung (act. II 27), am 23. Oktober 2013 eine offene Nachresektion im Bereich der Fovea ulnae links und ein Débri- dement des TFCC (act. II 55) und am 22. Januar 2014 eine Neurolyse und Narbenexzision links (act. II 74) durchgeführt. 3.2.2 Anlässlich der kreisärztlichen Untersuchung vom 24. Juni 2014 (act. II 100) wurde in Bezug auf das linke Handgelenk festgehalten, dass die grobe Kraft der linken Hand gemindert sei. Die aktive Beweglichkeit des Handgelenks sei eingeschränkt und im Bereich der Narbe seien elektrisie- rende Sensationen tastbar (act. II 100 S. 5 unten). Dem Beschwerdeführer seien aktuell leichte bis mittelschwere Arbeiten, die im Wechsel mit Stehen, Gehen und administrativen Arbeiten bzw. Arbeiten am Computer oder Auf- sichtsarbeiten erlaubt. Nicht ausüben solle er Arbeiten, die das Heben und Tragen von mittelschweren bis schweren Gegenständen (15-20 kg) ver- langten. Unter Berücksichtigung dieses Zumutbarkeitsprofils könnten leich- te bis mittelschwere Tätigkeiten vollschichtig ausgeübt werden (act. II 100 S. 6). 3.2.3 In Bezug auf den zweiten Unfall wurde im Bericht des Spitals G.________ vom 25. Juli 2017 (act. IIA 9) als Diagnose eine distale, undis- lozierte Radiusfraktur rechts genannt (act. IIA 9 S. 1). Die Fraktur wurde konservativ behandelt (act. IIA 9 S. 1 unten, 17 S. 1). Aufgrund persistierender Schmerzen wurden in der Folge weitere – insbe- sondere bildgebende – Untersuchungen (act. IIA 17, 36 ff., 62) durchge- führt. Nach erfolgtem Arthro-MRI des rechten Handgelenks vom 13. De- zember 2017 (act. IIA 42) führte Dr. med. H.________, Facharzt für Chirur- gie, im Bericht des Spitals G.________ vom 15. Dezember 2017 (act. IIA 62) als Diagnose eine ulnarseitige Teilläsion des TFCC-Komplexes rechtes Handgelenk bei posttraumatischer Ulna-Plus-Variante auf. Der Patient ste-</w:t>
      </w:r>
    </w:p>
    <w:p>
      <w:r>
        <w:t>Urteil des Verwaltungsgerichts des Kantons Bern vom 10. Nov. 2020, UV/20/639, Seite 9 he einem operativen Vorgehen jedoch abgeneigt gegenüber, weshalb er aus der Behandlung entlassen worden sei (act. IIA 62 S. 1). 3.2.4 Zum Einholen einer Zweitmeinung (vgl. auch act. IIA 83 S. 3) wurde der Beschwerdeführer am 23. Juli 2018 in der Klinik C.________ vorstellig. Im Sprechstundenbericht (act. IIA 131) nannten Prof. Dr. med. I.________, Facharzt für Orthopädische Chirurgie und Traumatologie des Bewegungs- apparates sowie Handchirurgie, und Dr. med. J.________, Fachärztin für Chirurgie sowie Handchirurgie, folgende Diagnosen (act. IIA 131 S. 1): 1. In Fehlstellung verheilte distale intraartikuläre Radiusfraktur rechts (dominant) vom 25. Juli 2017 mit konsekutivem ulnokarpalem Impakta- tionssyndrom 2. Instabiles, subluxiertes DRUG (distales Radioulnargelenk) links bei - Verdacht auf stattgehabte Galeazzi-Verletzung 2003 - St. n. Osteosynthese Radiusschaftfraktur 2003 - St. n. Ulnaköpfchenteilresektion 17. Januar 2013 Beim Patienten bestünden zwei Problematiken. Auf der rechten Seite zeige sich eine in Fehlstellung verheilte distale, intraartikuläre Radiusfraktur mit konsekutivem ulnokarpalem Impaktationssyndrom. Zur genauen Analyse der Fehlstellung werde ein CARD-CT des gesamten Vorderarmes durchge- führt. Abhängig vom Ausmass der Deformität wäre dann eine einfache Ul- naverkürzungs- oder eine Radiuskorrekturosteotomie am Platz. Auf der linken Seite werde eine stattgehabte Galeazzi-Verletzung vermutet, bei welcher im Jahr 2003 der Radiusschaft mittels Platte versorgt worden sei. Zudem sei aufgrund eines ulnokarpalen Impaktationssyndroms im Jahr 2003 eine Ulnaköpfchenteilresektion durchzuführen. Hierzu zeige sich nun ein instabiles DRUG mit subluxiertem Ulnaköpfchen. Auch hier sei ein CARD-CT zur Fehlstellungsanalyse des Radiusschaftes durchzuführen. Zudem würden im CT die Knorpelverhältnisse im DRUG beurteilt. Sollte der Radiusschaft keine grosse Fehlstellung haben und das DRUG destruiert sein, käme auf der linken Seite nur noch eine Scheker-Prothese in Frage (act. IIA 131 S. 2). Im Bericht vom 12. November 2018 (act. IIA 150) führte Dr. med. J.________ gestützt auf die bildgebenden Befunde vom 5. September</w:t>
      </w:r>
    </w:p>
    <w:p>
      <w:r>
        <w:t>Urteil des Verwaltungsgerichts des Kantons Bern vom 10. Nov. 2020, UV/20/639, Seite 10 2018 (act. IIA 145) sodann aus, beim Patienten zeige sich auf der rechten Seite eine in Fehlstellung verheilte, distale intraartikuläre Radiusfraktur. Theoretisch wäre eine intra- und extraartikuläre Korrekturosteotomie des Radius denkbar, mit welcher gleichzeitig das konsekutive ulnokarpale Im- paktationssyndrom therapiert werden könnte (act. IIA 150 S. 2 unten). Auf der linken Seite seien im CT bereits degenerative Gelenksveränderungen im DRUG festgestellt worden. Deshalb sei hier nur noch eine Arthroplastik denkbar. Angesichts der Instabilität käme lediglich eine Scheker-Prothese in Frage. Es erscheine aber unwahrscheinlich, dass der Patient – auch bei „gutem Gelingen“ der Operation – als ... wieder arbeitsfähig würde (act. IIA 150 S. 3). 3.2.5 In der ärztlichen Beurteilung vom 8. Februar 2019 (act. IIA 176) führte die Kreisärztin Dr. med. K.________, Fachärztin für Orthopädische Chirurgie und Traumatologie des Bewegungsapparates, aus, gestützt auf den Sprechstundenbericht der Klinik C.________ vom 12. November 2018 (act. IIA 150) könne von weiteren Behandlungen nicht mit überwiegender Wahrscheinlichkeit eine namhafte Besserung des unfallbedingten Gesund- heitszustands erwartet werden. Die Invalidität werde je zur Hälfte auf die beiden Schadenfälle aufgeteilt. Das definitive Zumutbarkeitsprofil könne wie folgt definiert werden: „Ganztägiger Einsatz. Keine Schlagbelastungen, keine Vibrationsbelastungen. Maximal 5 kg Gewichtsbelastung der betrof- fenen Handgelenke. Kein kräftiges Zupacken, keine besondere Geschick- lichkeit. Keine chronisch repetitiven, monotonen Tätigkeiten. Keine ends- tändigen Zwangshaltungen“ (act. IIA 176 S. 1; vgl. auch Bericht vom 24. Januar 2019 [act. IIA 167 S. 3 f.]).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10. Nov. 2020, UV/20/639, Seite 11 3.3.1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3.3.2 Den Berichten und Gutachten versicherungsinterner Ärzte kommt Beweiswert zu, sofern sie als schlüssig erscheinen, nachvollziehbar be- gründet sowie in sich widerspruchsfrei sind und keine Indizien gegen ihre Zuverlässigkeit bestehen (BGE 125 V 351 E. 3b ee S. 354). Soll allerdings ein Versicherungsfall ohne Einholung eines externen Gutachtens entschie- den werden, so sind an die Beweiswürdigung strenge Anforderungen zu stellen. Bestehen auch nur geringe Zweifel an der Zuverlässigkeit und Schlüssigkeit der versicherungsinternen ärztlichen Feststellungen, so sind ergänzende Abklärungen vorzunehmen (BGE 142 V 58 E. 5.1 S. 65, 135 V 465 E. 4.4 S. 470). 3.3.3 Nach der Praxis sind Aktengutachten nicht zu beanstanden, wenn die Akten ein vollständiges Bild über Anamnese, Verlauf und gegenwärti- gen Status ergeben und diese Daten unbestritten sind. Der Untersu- chungsbefund muss lückenlos vorliegen. Der Experte muss sich aufgrund vorhandener Unterlagen ein gesamthaft lückenloses Bild machen können (RKUV 2006 U 578 S. 175 E. 3.4, 1988 U 56 S. 371 E. 5b). 3.4 Die Beschwerdegegnerin stützte sich im angefochtenen Einspra- cheentscheid (act. II 146; act. IIA 255) massgeblich auf die orthopädischen Aktenbeurteilungen der Kreisärztin Dr. med. K.________ vom 24. Januar 2019 (act. IIA 167) sowie vom 8. Februar 2019 (act. IIA 176). Die fachärztli- che Einschätzung ist für die Frage der medizinisch noch möglichen Tätig- keiten umfassend, beruht auf den Untersuchungen der behandelnden Ärzte und ist in Kenntnis der Vorakten ergangen. Demnach genügen die Akten-</w:t>
      </w:r>
    </w:p>
    <w:p>
      <w:r>
        <w:t>Urteil des Verwaltungsgerichts des Kantons Bern vom 10. Nov. 2020, UV/20/639, Seite 12 beurteilungen (act. IIA 167, 176) den höchstrichterlichen Beweisanforde- rungen (vgl. E. 3.3.1 ff. hiervor) und erbringen vollen Beweis. Daran ändern die Einwände des Beschwerdeführers nichts. Insbesondere schmälert der Verzicht auf eine klinische Untersuchung – entgegen der Ansicht des Beschwerdeführers (Beschwerde S. 4 Ziff. III Art. 3) – den Beweiswert nicht, zumal die Kreisärztin neben den Berichten der behandelnden Ärzteschaft (act. IIA 9, 17 f., 24, 36 ff., 62) zusätzlich die Erkenntnisse aus der eingeholten handchirurgischen Zweitmeinung der Klinik C.________ (act. IIA 131, 150) samt den dort veranlassten bildge- benden Befunden vom 5. September 2018 (act. IIA 145) berücksichtigte. Die dortigen Befunde und Beurteilungen sind unbestritten und in den Akten finden sich keine divergierenden medizinischen Einschätzungen der be- handelnden Ärzte. Soweit der Beschwerdeführer zudem die Aktualität der Arztberichte bemängelt (Beschwerde S. 4 Ziff. III Art. 3), erkannte die Be- schwerdegegnerin zu Recht (Beschwerdeantwort S. 3 Ziff. III/4.4), dass den Akten keine Hinweise für eine Veränderung der gesundheitlichen Situation der linken oder rechten Hand seit der letzten Untersuchung in der Klinik C.________ vom 12. November 2018 (act. IIA 150) zu entnehmen sind und eine solche auch nicht geltend gemacht wird. Die Kritik am Zu- mutbarkeitsprofil (act. IIA 176 S. 1 unten; Beschwerde S. 4 f. Ziff. III Art. 3) ist pauschal gehalten; weitere Einschränkungen werden nicht genannt und sind auch nicht ersichtlich. Im Gegenteil äusserte sich Dr. med. H.________ anlässlich eines Telefonats mit der Beschwerdegegnerin (act. IIA 71) dahingehend, dass seiner Ansicht nach aus medizinischer Sicht keine Arbeitsunfähigkeit mehr bestehe. Bei der Beurteilung berück- sichtigte Dr. med. K.________ insbesondere auch die im Bericht der Klinik C.________ vom 23. Juli 2018 (act. IIA 131 S. 1) festgehaltene anamnesti- sche Unmöglichkeit von Heben von schweren Lasten. Das Zumutbar- keitsprofil (act. IIA 176 S. 1 unten) umschreibt die funktionellen Einschrän- kungen bzw. Ressourcen hinreichend detailliert, das Exemplifizieren ein- zelner möglicher Einsatzgebiete ist – entgegen der Ansicht des Beschwer- deführers (Beschwerde S. 4 f. Ziff. III Art. 3) – entbehrlich. Nach dem Ge- sagten ergeben die Akten ein vollständiges Bild über Anamnese, Verlauf und den gegenwärtigen Status ab, weshalb es der Kreisärztin möglich war, sich aufgrund der vorhandenen Unterlagen ein gesamthaft lückenloses Bild</w:t>
      </w:r>
    </w:p>
    <w:p>
      <w:r>
        <w:t>Urteil des Verwaltungsgerichts des Kantons Bern vom 10. Nov. 2020, UV/20/639, Seite 13 zu verschaffen und gestützt darauf das Zumutbarkeitsprofil zu formulieren. Bei dieser Ausgangslage erübrigte sich auch die Durchführung einer Eva- luation der funktionellen Leistungsfähigkeit (EFL; Beschwerde S. 5 Ziff. III Art. 3), zumal bei zuverlässiger ärztlicher Beurteilung der Arbeitsfähigkeit hierfür in der Regel keine Notwendigkeit besteht und eine solche nur aus- nahmsweise erforderlich ist, wenn mehrere involvierte Ärzte eine solche angesichts eines multiplen und schwierig einzuschätzenden Krankheitsbil- des ausdrücklich befürworten (Entscheide des BGer vom 16. September 2020, 8C_472/2020, E. 5.4, und vom 5. Oktober 2018, 9C_433/2018, E. 4.2). Dass dies vorliegend der Fall wäre, macht der Beschwerdeführer zu Recht nicht geltend. Der Beschwerdeführer vermag keine auch nur ge- ringen Zweifel an der kreisärztlichen Feststellung zu wecken, womit keine weiteren medizinischen Abklärungen angezeigt sind (antizipierter Beweis- würdigung; BGE 144 V 361 E. 6.5 S. 368, 124 V 90 E. 4b S. 94, 122 V 157 E. 1d S. 162; SVR 2019 IV Nr. 50 S. 163 E. 4). 3.5 Basierend auf den Aktenbeurteilungen der Kreisärztin Dr. med. K.________ vom 24. Januar 2019 (act. IIA 167) sowie vom 8. Februar 2019 (act. IIA 176) ist erstellt, dass dem Beschwerdeführer in einer leidensange- passten Tätigkeit (keine Schlag- und Vibrationsbelastungen, maximal 5 kg Gewichtsbelastung der betroffenen Handgelenke, kein kräftiges Zupacken, keine besondere Geschicklichkeit, keine chronisch repetitiven, monotonen Tätigkeiten, keine endständigen Zwangshaltungen) ein ganztägiger Einsatz zumutbar ist. Gestützt darauf ist nachfolgend die Invaliditätsbemessung vorzunehmen. Dabei sind für beide Unfälle einheitliche Berechnungsgrund- lagen heranzuziehen (sog. Rentenkombination vgl. hierzu E. 2.4.1 hiervor). 4. 4.1 Für die Bemessung des Valideneinkommens ist in der Unfallversi- cherung nach jenem hypothetischen Verdienst zu fragen, welchen die ver- sicherte Person ohne die unfallbedingte Schädigung wahrscheinlich erzie- len würde. Dieser kann sich zwar mit dem mutmasslichen Verdienst als gesunde Person decken, aber nur dann, wenn keine weiteren, nicht unfall-</w:t>
      </w:r>
    </w:p>
    <w:p>
      <w:r>
        <w:t>Urteil des Verwaltungsgerichts des Kantons Bern vom 10. Nov. 2020, UV/20/639, Seite 14 bedingten, leistungsschmälernden Beeinträchtigungen vorhanden sind (SVR 2018 UV Nr. 33 S. 115 E. 2.1). 4.2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SVR 2019 IV Nr. 28 S. 88 E. 5.1.3).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2018 IV Nr. 46 S. 148 E. 3.3). Zu beachten ist, dass allfällige bereits in der Beurteilung der medizinischen Arbeitsfähigkeit enthaltene gesundheitliche Einschränkun- gen nicht zusätzlich in die Bemessung des leidensbedingten Abzugs ein- fliessen und so zu einer doppelten Anrechnung desselben Gesichtspunkts führen dürfen (SVR 2018 IV Nr. 45 S. 145 E. 2.2). 4.3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w:t>
      </w:r>
    </w:p>
    <w:p>
      <w:r>
        <w:t>Urteil des Verwaltungsgerichts des Kantons Bern vom 10. Nov. 2020, UV/20/639, Seite 15 S. 300, 129 V 222). Im Bereich der obligatorischen Unfallversicherung er- gibt sich der massgebliche Zeitpunkt aus Art. 19 Abs. 1 Satz 1 UVG, wo- nach der Rentenanspruch entsteht, wenn von der Fortsetzung der ärztli- chen Behandlung keine namhafte Besserung des Gesundheitszustands mehr erwartet werden kann und allfällige Eingliederungsmassnahmen der Invalidenversicherung abgeschlossen sind (BGE 143 V 148 E. 3.1.1 S. 151, 137 V 199 E. 2.1 S. 201). Der frühestmögliche Rentenbeginn fällt demnach unter Berücksichtigung des Fallabschlusses per 14. April 2019 (act. IIA 199 S. 4) und des Abbruchs der beruflichen Grundabklärung in der M.________ per 31. Mai 2019 (act. IIA 232 S. 1 unten) auf den 1. Juni 2019. 4.4 Im hypothetischen Gesundheitsfall wäre der Beschwerdeführer im Zeitpunkt des frühestmöglichen Rentenbeginns (vgl. E. 4.3 hiervor) ange- sichts seiner Berufsbiografie (vgl. act. IIA 170 S. 1, 179) zwar überwiegend wahrscheinlich weiterhin in der …branche, aber nicht mehr für die D.________ AG tätig gewesen, war dieses Arbeitsverhältnis doch auf drei Monate befristet (act. IIA 57 S. 1 und S. 3, 80 S. 4 f.) und sind den Akten keine Hinweise für eine beabsichtigte Verlängerung des Anstellungsver- hältnisses zu entnehmen. Damit kann der dort vor dem zweiten Unfall er- zielte Verdienst – entgegen der Argumentation des Beschwerdeführers (Beschwerde S. 6 Ziff. III Art. 4) – nicht als Valideneinkommen herangezo- gen werden. Ebenso wenig ist auf den „GAV-Lohn für einen ausgebildeten und erfahrenen ... und ...“ (act. IIA 249 S. 4 Art. 4; vgl. auch Beschwerde S. 6 Ziff. III Art. 4) abzustellen. Vorab vermag die Begründung der rechtskräf- tigen Verfügung vom 14. August 2014 (act. II 104) betreffend den Grundfall des Ereignisses vom 17. Januar 2013 die Frage des Valideneinkommens nicht zu präjudizieren. Mit der Spätfolge bzw. des Rückfalls im Sinne von Art. 11 UVV (vgl. E. 3.1 hiervor) hat sich ein besonderer revisionsrechtli- cher Tatbestand verwirklicht, welcher eine abweichende materielle Beurtei- lung ohne weiteres zulässt (vgl. etwa Entscheid des BGer vom 6. März 2020, 8C_646/2019, E. 6.1; LUKAS OETIKER, Rückfälle im Unfallversiche- rungsrecht, in JaSo 2014, S. 225). Sodann handelt es sich bei den im GAV stipulierten Sockellöhnen um Mindestlöhne, welche nicht zwingend die tatsächlich üblichen Verdienste in der Branche repräsentieren. Der Be- schwerdeführer verfügt nicht über eine Berufsbildung als ... oder ...</w:t>
      </w:r>
    </w:p>
    <w:p>
      <w:r>
        <w:t>Urteil des Verwaltungsgerichts des Kantons Bern vom 10. Nov. 2020, UV/20/639, Seite 16 (act. IIA 170 S. 1) und wäre damit der Lohnkategorie B (Berufsarbeiter) zuzuordnen. Der hierfür vorgesehene Sockellohn (...: Fr. 4'457.--, ...: Fr. 4'631.--; GAV für das ...- und … Deutschschweiz und Tessin 2020-2022 [abrufbar unter &lt;www.gav-service.ch&gt;]) zuzüglich des 13. Monatslohns, ausmachend Fr. 4'828.40 respektive Fr. 5'016.90, fiele weit tiefer aus als der von der Beschwerdegegnerin verwendete branchenspezifische Tabel- lenlohn von Fr. 5'622.-- (LSE 2018, Männer, Wirtschaftszweig Ziff. …: …, Kompetenzniveau 1). Unter Berücksichtigung der wöchentlichen Normalar- beitszeit und der Indexierung auf das Jahr 2019 ergibt sich demnach ein Valideneinkommen von Fr. 70'327.65 (Fr. 5'622.-- [LSE 2018, Männer, Wirtschaftszweig Ziff. …: …, Kompetenzniveau 1] x 12 [Monate] / 40 [Wo- chenarbeitsstunden] x 41.3 [Betriebsübliche Arbeitszeit nach Wirtschaftsab- teilung, Ziff. …: …, 2019] / 103.8 x 104.8 [Tabelle T1.1.10, Nominallohnin- dex Männer, 2011-2019, Ziff. …: …, Indices 2018 und 2019]). 4.5 Der Beschwerdeführer ist in einer angepassten Tätigkeit 100 % ar- beitsfähig (act. IIA 176 S. 1 unten). Die Beschwerdegegnerin weist zu Recht darauf hin, dass es auf dem massgebenden ausgeglichenen Ar- beitsmarkt (Art. 16 ATSG; BGE 138 V 457 E. 3.1 S. 459; SVR 2019 IV Nr. 21 S. 66 E. 4.2) für Personen, die nur noch leichte Arbeit verrichten können, rechtsprechungsgemäss genügend Beschäftigungsmöglichkeiten gibt (vgl. Entscheide des BGer vom 27. August 2020, 8C_462/2020, E. 5.1, und vom 14. Juni 2018, 8C_227/2018, E. 4.2.1 f.). Zwar sind beim Be- schwerdeführer beide Hände funktionell beeinträchtigt, die Einschränkun- gen sind indes nicht derart gross, dass er sie nur noch als Zudienhände einsetzen könnte. Somit kann nicht auf eine Unverwertbarkeit der Restar- beitsfähigkeit geschlossen werden. Der Beschwerdeführer nahm keine ihm an sich zumutbare neue Erwerbs- tätigkeit auf bzw. schöpft die medizinisch-theoretische Arbeitsfähigkeit nicht aus, weshalb die Beschwerdegegnerin sich auch für das Invalideneinkom- men zulässigerweise auf die LSE 2018 stützte (vgl. E. 4.2 hiervor) und da- bei ausgehend vom Zumutbarkeitsprofil (act. IIA 176 S. 1 unten), welches eine einfache Tätigkeit zulässt, richtigerweise auf den Totalwert der Tabelle TA1, Männer, Kompetenzniveau 1 von Fr. 5'417.--, abstellte (vgl. BGer 8C_462/2020, E. 5.3.2, und 8C_227/2018, E. 4.2.1 f.). Die Beschwerde-</w:t>
      </w:r>
    </w:p>
    <w:p>
      <w:r>
        <w:t>Urteil des Verwaltungsgerichts des Kantons Bern vom 10. Nov. 2020, UV/20/639, Seite 17 gegnerin gewährte zudem einen Abzug vom Tabellenlohn von 10 % (act. IIA 255 S. 6 E. 4.4), was nicht zu beanstanden ist. Soweit der Be- schwerdeführer einen höheren Abzug aufgrund seines Alters und seiner Nationalität geltend macht (Beschwerde S. 7 Ziff. III Art. 5), verkennt er, dass vorliegend diese invaliditätsfremden Faktoren unberücksichtigt zu bleiben haben, da beide Vergleichseinkommen auf Tabellenlöhnen basie- ren und die invaliditätsfremden Gesichtspunkte daher auch bei der Festset- zung des statistisch erhobenen Valideneinkommens zu berücksichtigen wären (Entscheid des BGer vom 19. Januar 2009, 8C_42/2008, E. 5). Nach dem Gesagten ergibt sich unter Berücksichtigung der wöchentlichen Nor- malarbeitszeit und der Indexierung auf das Jahr 2019 ein Invalidenein- kommen von Fr. 61'512.25 (Fr. 5'417.-- [LSE 2018, Männer, Total, Kompe- tenzniveau 1] x 12 [Monate] / 40 [Wochenarbeitsstunden] x 41.7 [Betriebs- übliche Arbeitszeit nach Wirtschaftsabteilung, Total, 2019] / 105.1 x 106.0 [Tabelle T1.1.10, Nominallohnindex Männer, 2011-2019, Total, Indices 2018 und 2019] x 0.9 [Abzug von 10 %]). 4.6 Aus der Gegenüberstellung der beiden Vergleichseinkommen resul- tiert ein aufgerundeter (BGE 130 V 121 E. 3.2 und 3.3 S. 123; SVR 2019 IV Nr. 61 S. 198 E. 7.1) Invaliditätsgrad von 13 % ([Fr. 70'327.65 ./. Fr. 61'512.25] / Fr. 70'327.65 x 100). Der versicherte Verdienst (Art. 15 UVG; Art. 22 Abs. 4 UVV) von Fr. 76'400.-- (act. IIA 234 S. 1 Ziff. 2, 236 S. 1) wird nicht gerügt und ist nicht zu beanstanden. 4.7 Nach dem Dargelegten sprach die Beschwerdegegnerin für die ver- bliebene Beeinträchtigung aus den Unfällen vom 17. Januar 2013 und vom 25. Juli 2017 zu Recht eine Invalidenrente bei einem Invaliditätsgrad von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w:t>
      </w:r>
    </w:p>
    <w:p>
      <w:r>
        <w:t>Urteil des Verwaltungsgerichts des Kantons Bern vom 10. Nov. 2020, UV/20/639, Seite 4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13</w:t>
      </w:r>
    </w:p>
    <w:p>
      <w:r>
        <w:t>% und einem versicherten Verdienst von Fr. 76'400.-- zu. Die gegen den Einspracheentscheid vom 30. Juni 2020 (act. II 146; act. IIA 255) erhobene Beschwerde ist folglich abzuweisen. 5. 5.1 In Anwendung von Art. 1 Abs. 1 UVG i.V.m. Art. 61 lit. a ATSG sind keine Verfahrenskosten zu erheben.</w:t>
      </w:r>
    </w:p>
    <w:p>
      <w:r>
        <w:t>Urteil des Verwaltungsgerichts des Kantons Bern vom 10. Nov. 2020, UV/20/639, Seite 18 5.2 Bei diesem Ausgang des Verfahrens ist dem Beschwerdeführer keine Parteientschädigung zuzusprechen (Art. 1 Abs. 1 UVG i.V.m. Art. 61 lit. g ATSG [Umkehrschluss]). 5.3 Zu prüfen bleibt das Gesuch um unentgeltliche Rechtspflege.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 gen (Art. 61 lit. f ATSG sowie Art. 111 Abs. 1 und 2 VRPG; SVR 2011 IV Nr. 22 S. 61 E. 2, 2011 UV Nr. 6 S. 22 E. 6.1). 5.3.2 Die Prozessarmut des Beschwerdeführers ist gestützt auf die Auf- stellung im Gesuch um unentgeltliche Rechtspflege vom 31. August 2020 (Akten des Beschwerdeführers [act. I] 4) und die eingereichten Unterlagen (act. I 6 ff.) erstellt. Weiter ist das Beschwerdeverfahren nicht als von vorn- herein aussichtslos zu betrachten und für das Verfahren erscheint der Bei- zug einer anwaltlichen Vertretung infolge der sich stellenden Sach- und Rechtsfragen als angezeigt. Das Gesuch um Erteilung der unentgeltlichen Rechtspflege unter Beiordnung von Rechtsanwalt A.________ ist demnach gutzuheissen. 5.3.3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w:t>
      </w:r>
    </w:p>
    <w:p>
      <w:r>
        <w:t>Urteil des Verwaltungsgerichts des Kantons Bern vom 10. Nov. 2020, UV/20/639, Seite 19 amtlichen Anwältinnen und Anwälte (EAV; BSG 168.711) beträgt der Stun- denansatz Fr. 200.--. Mit nicht zu beanstandender Kostennote vom 22. September 2020 wird eine Parteientschädigung von Fr. 2'586.60 bei einem Aufwand von 9.58 Stunden à Fr. 270.-- geltend gemacht, was zuzüglich Barauslagen von Fr. 172.70 und Mehrwertsteuer von Fr. 212.45 (7.7 % von Fr. 2’759.30) Fr. 2'971.75 ergibt. Das amtliche Honorar von A.________ ist auf Fr. 1'916.-- (9.58 Stunden à 200.--), zuzüglich Barauslagen von Fr. 78.50 und Mehrwertsteuer von Fr. 153.60 (7.7 % von Fr. 1'994.50), somit total Fr. 2'148.10 festzusetzen und nach Eintritt der Rechtskraft dieses Urteils aus der Gerichtskasse zu vergüten. Vorbehalten bleibt die Nachzahlungs- pflicht des Beschwerdeführers nach Art. 123 der Schweizerischen Zivilpro- zessordnung vom 19. Dezember 2008 (ZPO; SR 272). Demnach entscheidet das Verwaltungsgericht: 1. Die Beschwerde wird abgewiesen. 2. Das Gesuch um unentgeltliche Rechtspflege und Beiordnung von Rechtsanwalt A.________ als amtlicher Anwalt wird gutgeheissen. 3. Es werden weder Verfahrenskosten erhoben noch wird eine Parteien- tschädigung zugesprochen. 4. Der tarifmässige Parteikostenersatz des amtlichen Anwalts wird in die- sem Verfahren auf Fr. 2'971.75 (inkl. Auslagen und MWSt.) festge- setzt. Davon wird Rechtsanwalt A.________ nach Eintritt der Rechts- kraft dieses Urteils aus der Gerichtskasse eine auf Fr. 2'148.10 (inkl. Auslagen und MWSt.) festgesetzte Entschädigung vergütet. Vorbehal- ten bleibt die Nachzahlungspflicht nach Art. 123 ZPO.</w:t>
      </w:r>
    </w:p>
    <w:p>
      <w:r>
        <w:t>Urteil des Verwaltungsgerichts des Kantons Bern vom 10. Nov. 2020, UV/20/639, Seite 20 5. Zu eröffnen (R): - Rechtsanwalt A.________ z.H. des Beschwerdeführers - Suva - Bundesamt für Gesundheit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