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539 vom 10. September 2020</w:t>
      </w:r>
    </w:p>
    <w:p>
      <w:r>
        <w:t>BE Verwaltungsgericht, 2020-09-10, DE</w:t>
      </w:r>
    </w:p>
    <w:p>
      <w:r>
        <w:rPr>
          <w:b/>
        </w:rPr>
        <w:t xml:space="preserve">Quelle: </w:t>
      </w:r>
      <w:r>
        <w:t>https://mcp.opencaselaw.ch/entscheid/be_verwaltungsgericht_200_2020_539</w:t>
      </w:r>
    </w:p>
    <w:p>
      <w:r>
        <w:t>FR: BE_VERWALTUNGSGERICHT 200 2020 539 du 10 septembre 2020</w:t>
      </w:r>
    </w:p>
    <w:p>
      <w:r>
        <w:t>IT: BE_VERWALTUNGSGERICHT 200 2020 539 del 10 settembre 2020</w:t>
      </w:r>
    </w:p>
    <w:p>
      <w:pPr>
        <w:pStyle w:val="Heading2"/>
      </w:pPr>
      <w:r>
        <w:t>Regeste</w:t>
      </w:r>
    </w:p>
    <w:p>
      <w:r>
        <w:t>Verfügung vom 11.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Juni 2020 (AB 90). Streitig und zu prüfen ist der Anspruch auf medizinische Massnahmen in Form von Inkontinenzmaterial (Windeln) zur Behandlung des Geburtsge- brechens Ziff. 387 Anhang GgV.</w:t>
      </w:r>
    </w:p>
    <w:p>
      <w:r>
        <w:t>Urteil des Verwaltungsgerichts des Kantons Bern vom 10. Sept. 2020, IV/20/539, Seite 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Nach Art. 13 Abs. 1 IVG haben Versicherte bis zum vollendeten 20. Altersjahr Anspruch auf die zur Behandlung von Geburtsgebrechen (Art. 3 Abs. 2 ATSG) notwendigen medizinischen Massnahmen. Der Bun- desrat bezeichnet die Gebrechen, für welche diese Massnahmen gewährt werden; er kann die Leistung ausschliessen, wenn das Gebrechen von geringfügiger Bedeutung ist (Art. 13 Abs. 2 IVG). 2.2 Als Geburtsgebrechen gelten diejenigen Krankheiten, die bei voll- endeter Geburt bestehen (Art. 3 Abs. 2 ATSG); die Geburtsgebrechen sind in der Liste im Anhang zur GgV aufgeführt (Art. 1 Abs. 2 GgV). Ziff. 387 Anhang GgV nennt das Geburtsgebrechen "Angeborene Epilepsie (ausgenommen Formen, bei denen eine antikonvulsive Therapie nicht oder nur während eines Anfalls notwendig ist)". Als Geburtsgebrechen gemäss Ziff. 390 Anhang GgV gelten die angeborenen cerebralen Lähmungen (spastisch, dyskinetisch [dyston, choreo-athetoid], ataktisch). 2.3 Als medizinische Massnahmen, die für die Behandlung eines Ge- burtsgebrechens notwendig sind, gelten sämtliche Vorkehren, die nach bewährter Erkenntnis der medizinischen Wissenschaft angezeigt sind und den therapeutischen Erfolg in einfacher und zweckmässiger Weise anstre- ben (Art. 2 Abs. 3 GgV; BGE 142 V 58 E. 2.2 S. 60). Eingliederungszweck ist die Behebung oder Milderung der als Folge eines Geburtsgebrechens eingetretenen Beeinträchtigung (BGE 115 V 202 E. 4e cc S. 205; SVR 2019 IV Nr. 59 S. 188 E. 4.2.2; MEYER/REICHMUTH, Bundesgesetz über die</w:t>
      </w:r>
    </w:p>
    <w:p>
      <w:r>
        <w:t>Urteil des Verwaltungsgerichts des Kantons Bern vom 10. Sept. 2020, IV/20/539, Seite 5 Invalidenversicherung [IVG], 3. Aufl. 2014, S. 162 Rz. 10). Zur Behandlung des Geburtsgebrechens zählen alle Begleiterscheinungen, die medizinisch gesehen zum Symptomenkreis des infrage stehenden Geburtsgebrechens gehören (MEYER/REICHMUTH, a.a.O., S. 165 Rz. 20). 2.4 Nach der Rechtsprechung erstreckt sich der Anspruch auf medizini- sche Massnahmen ausnahmsweise auch auf die Behandlung sekundärer Gesundheitsschäden, die zwar nicht mehr zum Symptomenkreis des Ge- burtsgebrechens gehören, aber nach medizinischer Erfahrung häufig die Folge dieses Gebrechens sind. Zwischen dem Geburtsgebrechen und dem sekundären Leiden muss demnach ein qualifizierter adäquater Kausalzu- 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(BGE 129 V 207 E. 3.3 S. 209, 100 V 41 E. 1a S. 41; Entscheid des Bundesgerichts [BGer] vom 27. April 2017, 9C_842/2016, E. 6.1). An die Erfüllung der Vorausset- zungen des rechtserheblichen Kausalzusammenhangs sind strenge Anfor- derungen zu stellen (Entscheid des BGer vom 25. November 2010, 8C_494/2010, E. 3.1; vgl. auch Rz. 11 des Kreisschreibens des Bundesam- tes für Sozialversicherung über die medizinischen Eingliederungsmass- nahmen der Invalidenversicherung [KSME] in der ab dem 1. Januar 2020 gültig gewesenen Fassung). 2.5 Nach ständiger Rechtsprechung kann die Invalidenversicherung die Kosten für ein Behandlungsgerät (wie bspw. Abgabe von Windeln bei stuhl- oder harninkontinenten Versicherten) übernehmen, wenn es einen notwendigen Bestandteil einer medizinischen Eingliederungsmassnahme nach Art. 12 oder 13 IVG bildet. Dafür ist entscheidend, ob es in engem, unmittelbarem Zusammenhang mit der von der Invalidenversicherung übernommenen medizinischen Vorkehr steht (Entscheid des Eidgenössi- schen Versicherungsgerichts [EVG; heute: BGer], vom 22. September 2005, I 835/04, E. 2.2; MEYER/REICHMUTH, a.a.O., S. 164 Rz. 16).</w:t>
      </w:r>
    </w:p>
    <w:p>
      <w:r>
        <w:t>Urteil des Verwaltungsgerichts des Kantons Bern vom 10. Sept. 2020, IV/20/539, Seite 6 3. 3.1 Es ist unbestritten und aufgrund der Akten erstellt, dass der Versi- cherte an den Geburtsgebrechen Ziff. 387 (angeborene Epilepsie) und 390 (angeborene cerebrale Lähmungen) Anhang GgV leidet (AB 7, 51). Streitig ist dagegen die Frage, ob die Inkontinenz zum Symptomenkreis des von der Beschwerdegegnerin anerkannten Geburtsgebrechens Ziff. 387 An- hang GgV gehört oder zumindest ein sekundäres Leiden bildet, das damit in einem qualifizierten adäquaten Kausalzusammenhang steht (vgl. E. 2.3 f. hiervor). Dazu ist den medizinischen Akten im Wesentlichen Folgendes zu entnehmen: 3.1.1 Der behandelnde Kinderarzt Dr. med. C.________ führte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als Trägerin der obligatorischen Krankenpflege- versicherung, deren Leistungspflicht durch die angefochtene Verfügung berührt ist, zur Beschwerde legitimiert (Art. 49 Abs. 4 ATSG; vgl. BGE 134 V 153 E. 5.4 S. 159 f.). Die örtliche Zuständigkeit ist gegeben (Art. 69 Abs. 1 lit. a des Bundesgesetzes vom 19. Juni 1959 über die Invalidenversiche- 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November 2019 aus, dass beim Versicherten eine genetische Epilepsie vorliege, infolge derer eine totale Urin- und Stuhlinkontinenz bestehe. Die Inkontinenz sei komplett im Sinne eines Urinverlusts von mehr als 250 ml innerhalb von vier Stunden. Die Stuhlinkontinenz sei ebenfalls komplett, weshalb der Versicherte unverändert tags und nachts auf Windeln ange- wiesen sei (AB 92 S. 17). Im Arztzeugnis Inkontinenz vom 2. Dezember 2019 (AB 77) bestätigte Dr. med. C.________ die Diagnose einer genetischen Epilepsie und die schwere Inkontinenz mit einem Urinverlust von mehr als 250 ml innerhalb von vier Stunden. Am 24. Januar 2020 hielt Dr. med. C.________ fest, beim Versicherten liege keine funktionelle Störung des Magen-Darmtraktes oder des Urogeni- talsystems vor. Das Geburtsgebrechen Ziff. 387 Anhang GgV (konnatale genetische Epilepsie) sei ursächlich für die Harn- und Stuhlinkontinenz im Sinne einer unzureichenden Hirnreifung, aufgrund derer keine Blasen- und Mastdarmkontrolle bestehe (AB 79 S. 1). 3.1.2 Am 5. März 2020 verneinte Dr. med. D.________, Fachärztin für Kinder- und Jugendmedizin, Regionaler Ärztlicher Dienst (RAD), den An-</w:t>
      </w:r>
    </w:p>
    <w:p>
      <w:r>
        <w:t>Urteil des Verwaltungsgerichts des Kantons Bern vom 10. Sept. 2020, IV/20/539, Seite 7 spruch auf Inkontinenzmaterial im Zusammenhang mit dem Geburtsge- brechen Ziff. 387 Anhang GgV. Sie empfahl jedoch eine Anfrage beim Spi- tal H.________ (AB 81 S. 2). 3.1.3 Dr. med. E.________, Fachärztin für Kinder- und Jugendmedizin, Spital F.________, legte am 15. April 2020 dar, der Versicherte leide an einer therapierefraktären bzw. schwierigen genetischen Epilepsie bei be- kannter pathogener SCN8A-Variante. Er habe häufige, auch autonome Anfälle tagsüber, so dass ein direkter Zusammenhang oder Ausschluss mit der Epilepsie nicht möglich sei. Es könne sehr gut sein, dass die Inkonti- nenz neurologisch begründet sei und im direkten Zusammenhang mit den Anfällen stehe. Deswegen profitiere der Versicherte auch bei fortgeschrit- tenem Alter von entsprechenden Windeln (Inkontinenzmaterialien). Parallel dazu erfolge, soweit möglich und es die Anfallssituation zulasse, ein ent- sprechendes Blasentraining (AB 86 S. 2). 3.1.4 Am 28. April 2020 verneinte die RAD-Ärztin Dr. med. D.________ erneut einen Anspruch auf Inkontinenzmaterial im Zusammenhang mit dem Geburtsgebrechen Ziff. 387 Anhang GgV mit der Begründung, es bestehe mit überwiegender Wahrscheinlichkeit kein direkter Zusammenhang mit der Epilepsie (AB 88 S. 2) 3.1.5 Der Vertrauensarzt der Beschwerdeführerin, Dr. med. G.________, Facharzt für Chirurgie, rapportierte in der Stellungnahme vom 7. Juli 2020 (AB 92 S. 38) - die zwar nach Verfügungserlass datiert, indes dennoch in die Beurteilung miteinzubeziehen ist, da sie Rückschlüsse auf die im Zeit- punkt des Abschlusses des Verwaltungsverfahrens bestehende Situation erlaubt (vgl. SVR 2008 IV Nr. 8 S. 25 E. 3.4) -, beim Versicherten lägen die von der Invalidenversicherung angerkannten Geburtsgebrechen Ziff. 387 und 390 Anhang GgV vor. Die medizinische und klinische Auswirkung be- stehe darin, dass der Versicherte in der Anfallssituation vollständig inkonti- nent sei. Dies bedeute, dass sich der Versicherte im Rahmen eines Krampfanfalles unkontrolliert vollständig entleere. Diese Situation trete mehrfach am Tag auf und sei genetisch bedingt. Die Inkontinenz sei neuro- logisch aufgrund der Geburtsgebrechen bedingt. Sie sei durch eine gene- tische Analyse bestätigt worden. Der Vertrauensarzt hielt zusammenfas- send fest, dass die Erkrankungen im Anfall eine totale Urin- und Stuhlin-</w:t>
      </w:r>
    </w:p>
    <w:p>
      <w:r>
        <w:t>Urteil des Verwaltungsgerichts des Kantons Bern vom 10. Sept. 2020, IV/20/539, Seite 8 kontinenz auslösten. Es bestehe ein direkter Kausalzusammenhang zwischen den Geburtsgebrechen, dem Anfallsleiden und der totalen Urin- und Stuhlinkontinenz. Dies erfordere eine ausreichende Versorgung mit Inkontinenzmaterial.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3b/ee S. 353 f.). Soll ein Versiche- rungsfall ohne Einholung eines externen Gutachtens entschieden werden, sind an die Beweiswürdigung strenge Anforderungen zu stellen. Bestehen auch nur geringe Zweifel an der Zuverlässigkeit und Schlüssigkeit der ver- sicherungsinternen ärztlichen Feststellungen, so sind ergänzende Ab- klärungen vorzunehmen (BGE 139 V 225 E. 5.2 S. 229; 135 V 465 E. 4 S. 467 ff., je mit Hinweisen).</w:t>
      </w:r>
    </w:p>
    <w:p>
      <w:r>
        <w:t>Urteil des Verwaltungsgerichts des Kantons Bern vom 10. Sept. 2020, IV/20/539, Seite 9 3.3 Die Beschwerdegegnerin hat sich in der hier angefochtenen Verfü- gung vom 11. Juni 2020 (AB 90) massgeblich auf die Aktenbeurteilung der RAD-Ärztin Dr. med. D.________ vom 28. April 2020 (AB 88 S. 2) gestützt, wonach mit überwiegender Wahrscheinlichkeit kein Kausalzusammenhang zwischen der Inkontinenz und der angeborenen Epilepsie bestehe. Diese versicherungsinterne Einschätzung vermag indes aus nachfolgenden Gründen nicht zu überzeugen: Der Beurteilung des RAD stehen zum einen die Einschätzungen von Dr. med. C.________ vom 12. November 2019, 2. Dezember 2019 und 24. Ja- nuar 2020 (AB 92 S. 17, AB 77, AB 79 S. 1) entgegen. Der behandelnde Arzt ging von einer unzureichenden Hirnreifung als Folge der angeborenen Epilepsie aus, weshalb eine totale Urin- und Stuhlinkontinenz bestehe (AB 79 S. 1). Zum anderen beurteilte der Vertrauensarzt Dr. med. G.________ die Inkontinenz als Folge der häufigen Anfälle (und nicht als Folge einer unzureichenden Hirnreifung bedingt durch die Epilepsie), im Rahmen derer sich der Versicherte vollständig entleere (AB 92 S. 38). Mithin bejahten sowohl Dr. med. C.________ als auch Dr. med. G.________ einen Kausal- zusammenhang zwischen der Inkontinenz und der angeborenen Epilepsie, sei es in Form einer direkten Anfallsfolge oder in Form einer unzureichen- den Hirnreifung. Dr. med. E.________ schliesslich hielt es für sehr gut möglich, dass die Inkontinenz neurologisch begründet sei. Da - so die Ärz- tin sinngemäss - der Versicherte aber häufige, auch autonome Anfälle ha- be, d.h. solche mit damit einhergehendem Urin- und Kotabgang (vgl. dazu MUMENTHALER/MATTLE, Neurologie, 10. Aufl. 1997, S. 494, Tabelle 7.3; ROSSI/GUGLER/VASSELLA, Pädiatrie, 3. Aufl. 1997, S. 627), könne eine neu- rologische Ursache der Inkontinenz weder bestätigt noch ausgeschlossen werden. Die Ärzte des Spitals H.________, wo der Versicherte ebenfalls in Behandlung stand (vgl. AB 50), wurden entgegen der Empfehlung der RAD-Ärztin (AB 81 S. 2) zur Ursache der Inkontinenz nicht befragt. Wie vorstehend gezeigt, bestehen mehrere divergierende Einschätzungen hinsichtlich des Zusammenhangs zwischen der Inkontinenz und der angeborenen Epilepsie. Diese diametralen Widersprüche können anhand der vorliegenden medizinischen Akten nicht aufgelöst werden. Was die</w:t>
      </w:r>
    </w:p>
    <w:p>
      <w:r>
        <w:t>Urteil des Verwaltungsgerichts des Kantons Bern vom 10. Sept. 2020, IV/20/539, Seite 10 Stellungnahme der RAD-Ärztin Dr. med. D.________ vom 28. April 2020 (AB 88 S. 2) betrifft, ist festzuhalten, dass sie sich im Wesentlichen in einem einzigen Satz erschöpft, wobei gänzlich unbegründet bleibt, weshalb der Einschätzung von Dr. med. C.________ vom 24. Januar 2020 (AB 79 S. 1) nicht gefolgt werden kann. Ebenso wenig hat sie begründet, sollte die Inkontinenz mit Dr. med. G.________ (lediglich) Folge der jeweiligen Anfäl- le und nicht der Hirnreifung sein, weshalb die Inkontinenz nicht zum Sym- ptomenkreis der Epilepsie bzw. der autonomen Anfälle gehören sollte. Darüber hinaus fehlt es an einer fachärztlichen, neurologischen Beurteilung der hier zur Diskussion stehenden neurologischen Problematik, weshalb auch aus diesem Grund weitere Abklärungen unabdingbar sind (vgl. E. 3.2 hiervor). 3.4 Zusammenfassend ist festzuhalten, dass die Aktenlage in Bezug auf die Ursache der Inkontinenz offenkundig nicht liquid ist und es einer externen neurologischen Beurteilung bedarf. Dabei wird sich der Experte - in Kenntnis der divergierenden Beurteilungen - namentlich dazu zu äus- sern haben, ob die Inkontinenz zum Symptomenkreis der angeborenen Epilepsie gehört (vgl. E. 2.3 hiervor) bzw. ob die Inkontinenz einen sekun- dären Gesundheitsschaden darstellt, der zwar nicht mehr zum Sympto- menkreis des Geburtsgebrechens Ziff. 387 Anhang GgV gehört, aber nach medizinischer Erfahrung häufig die Folge dieses Gebrechens ist (vgl. E. 2.4 hiervor). Vorgängig wird die Beschwerdegegnerin jedoch die Akten derge- stalt zu komplettieren haben, dass sie die von der RAD-Ärztin Dr. med. D.________ empfohlene Anfrage beim Spital H.________ (AB 81 S. 2) nachholt. 4. Nach dem Dargelegten ist die angefochtene Verfügung vom 11. Juni 2020 (AB 90) in Gutheissung der offensichtlich begründeten Beschwerde aufzu- heben und die Sache an die Beschwerdegegnerin zurückzuweisen, damit diese in Nachachtung der Untersuchungsmaxime (Art. 43 Abs. 1 ATSG) - nach Vervollständigung der medizinischen Akten - eine verwaltungsexter-</w:t>
      </w:r>
    </w:p>
    <w:p>
      <w:r>
        <w:t>Urteil des Verwaltungsgerichts des Kantons Bern vom 10. Sept. 2020, IV/20/539, Seite 11 ne neurologische Expertise einhole und anschliessend über den Leistungs- anspruch des Versicherten neu verfüge.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5.2 Die obsiegende Beschwerdeführerin hat als Sozialversicherungs- trägerin gemäss allgemeinem sozialversicherungsrechtlichem Prozess- grundsatz keinen Anspruch auf eine Parteientschädigung (vgl.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